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45B7" w14:textId="3C2F6EA9" w:rsidR="00D92009" w:rsidRDefault="00833DA1" w:rsidP="008E52AC">
      <w:pPr>
        <w:spacing w:after="120" w:line="280" w:lineRule="atLeast"/>
        <w:jc w:val="both"/>
        <w:rPr>
          <w:rFonts w:ascii="Arial" w:hAnsi="Arial" w:cs="Arial"/>
          <w:color w:val="000000"/>
          <w:sz w:val="20"/>
          <w:szCs w:val="20"/>
          <w:lang w:val="de-LI"/>
        </w:rPr>
      </w:pPr>
      <w:r>
        <w:rPr>
          <w:rFonts w:ascii="Arial" w:hAnsi="Arial" w:cs="Arial"/>
          <w:bCs/>
          <w:noProof/>
          <w:color w:val="000000"/>
          <w:sz w:val="20"/>
          <w:szCs w:val="20"/>
          <w:lang w:val="en-US"/>
        </w:rPr>
        <mc:AlternateContent>
          <mc:Choice Requires="wps">
            <w:drawing>
              <wp:anchor distT="0" distB="0" distL="114300" distR="114300" simplePos="0" relativeHeight="251659264" behindDoc="0" locked="0" layoutInCell="1" allowOverlap="1" wp14:anchorId="651F6EC3" wp14:editId="28878945">
                <wp:simplePos x="0" y="0"/>
                <wp:positionH relativeFrom="column">
                  <wp:posOffset>607420</wp:posOffset>
                </wp:positionH>
                <wp:positionV relativeFrom="paragraph">
                  <wp:posOffset>-1170305</wp:posOffset>
                </wp:positionV>
                <wp:extent cx="4232635" cy="292008"/>
                <wp:effectExtent l="0" t="0" r="9525" b="13335"/>
                <wp:wrapNone/>
                <wp:docPr id="1" name="Textfeld 1"/>
                <wp:cNvGraphicFramePr/>
                <a:graphic xmlns:a="http://schemas.openxmlformats.org/drawingml/2006/main">
                  <a:graphicData uri="http://schemas.microsoft.com/office/word/2010/wordprocessingShape">
                    <wps:wsp>
                      <wps:cNvSpPr txBox="1"/>
                      <wps:spPr>
                        <a:xfrm>
                          <a:off x="0" y="0"/>
                          <a:ext cx="4232635" cy="292008"/>
                        </a:xfrm>
                        <a:prstGeom prst="rect">
                          <a:avLst/>
                        </a:prstGeom>
                        <a:solidFill>
                          <a:schemeClr val="lt1"/>
                        </a:solidFill>
                        <a:ln w="6350">
                          <a:solidFill>
                            <a:prstClr val="black"/>
                          </a:solidFill>
                        </a:ln>
                      </wps:spPr>
                      <wps:txbx>
                        <w:txbxContent>
                          <w:p w14:paraId="61686FA9" w14:textId="6CC51AC7" w:rsidR="00833DA1" w:rsidRPr="00833DA1" w:rsidRDefault="00833DA1">
                            <w:pPr>
                              <w:rPr>
                                <w:rFonts w:ascii="Arial" w:hAnsi="Arial" w:cs="Arial"/>
                                <w:color w:val="FF0000"/>
                                <w:sz w:val="22"/>
                                <w:szCs w:val="22"/>
                                <w:lang w:val="en-US"/>
                              </w:rPr>
                            </w:pPr>
                            <w:r w:rsidRPr="00833DA1">
                              <w:rPr>
                                <w:rFonts w:ascii="Arial" w:hAnsi="Arial" w:cs="Arial"/>
                                <w:color w:val="FF0000"/>
                                <w:sz w:val="22"/>
                                <w:szCs w:val="22"/>
                                <w:lang w:val="en-US"/>
                              </w:rPr>
                              <w:t>This is an automatic translation, which is why errors may occur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F6EC3" id="_x0000_t202" coordsize="21600,21600" o:spt="202" path="m,l,21600r21600,l21600,xe">
                <v:stroke joinstyle="miter"/>
                <v:path gradientshapeok="t" o:connecttype="rect"/>
              </v:shapetype>
              <v:shape id="Textfeld 1" o:spid="_x0000_s1026" type="#_x0000_t202" style="position:absolute;left:0;text-align:left;margin-left:47.85pt;margin-top:-92.15pt;width:333.3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" fillcolor="white [3201]" strokeweight=".5pt">
                <v:textbox>
                  <w:txbxContent>
                    <w:p w14:paraId="61686FA9" w14:textId="6CC51AC7" w:rsidR="00833DA1" w:rsidRPr="00833DA1" w:rsidRDefault="00833DA1">
                      <w:pPr>
                        <w:rPr>
                          <w:rFonts w:ascii="Arial" w:hAnsi="Arial" w:cs="Arial"/>
                          <w:color w:val="FF0000"/>
                          <w:sz w:val="22"/>
                          <w:szCs w:val="22"/>
                          <w:lang w:val="en-US"/>
                        </w:rPr>
                      </w:pPr>
                      <w:r w:rsidRPr="00833DA1">
                        <w:rPr>
                          <w:rFonts w:ascii="Arial" w:hAnsi="Arial" w:cs="Arial"/>
                          <w:color w:val="FF0000"/>
                          <w:sz w:val="22"/>
                          <w:szCs w:val="22"/>
                          <w:lang w:val="en-US"/>
                        </w:rPr>
                        <w:t>This is an automatic translation, which is why errors may occur</w:t>
                      </w:r>
                    </w:p>
                  </w:txbxContent>
                </v:textbox>
              </v:shape>
            </w:pict>
          </mc:Fallback>
        </mc:AlternateContent>
      </w:r>
    </w:p>
    <w:p w14:paraId="5FC371B1" w14:textId="36D8F4AD"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Competition Commission Secretariat</w:t>
      </w:r>
    </w:p>
    <w:p w14:paraId="67ED8903" w14:textId="27FA88EA" w:rsidR="00815C6A" w:rsidRPr="00833DA1" w:rsidRDefault="00000000">
      <w:pPr>
        <w:spacing w:after="120" w:line="280" w:lineRule="atLeast"/>
        <w:jc w:val="both"/>
        <w:rPr>
          <w:rFonts w:ascii="Arial" w:hAnsi="Arial" w:cs="Arial"/>
          <w:bCs/>
          <w:color w:val="000000"/>
          <w:sz w:val="20"/>
          <w:szCs w:val="20"/>
          <w:lang w:val="en-US"/>
        </w:rPr>
      </w:pPr>
      <w:r w:rsidRPr="00833DA1">
        <w:rPr>
          <w:rFonts w:ascii="Arial" w:hAnsi="Arial" w:cs="Arial"/>
          <w:bCs/>
          <w:color w:val="000000"/>
          <w:sz w:val="20"/>
          <w:szCs w:val="20"/>
          <w:lang w:val="en-US"/>
        </w:rPr>
        <w:t>Hallwylstrasse 4, CH-3003 Bern</w:t>
      </w:r>
    </w:p>
    <w:p w14:paraId="1EAE1FA5" w14:textId="77777777" w:rsidR="00815C6A" w:rsidRPr="00833DA1" w:rsidRDefault="00000000">
      <w:pPr>
        <w:spacing w:after="120" w:line="280" w:lineRule="atLeast"/>
        <w:jc w:val="both"/>
        <w:rPr>
          <w:rStyle w:val="Hyperlink"/>
          <w:rFonts w:ascii="Arial" w:hAnsi="Arial" w:cs="Arial"/>
          <w:bCs/>
          <w:sz w:val="20"/>
          <w:szCs w:val="20"/>
          <w:lang w:val="en-US"/>
        </w:rPr>
      </w:pPr>
      <w:r w:rsidRPr="00833DA1">
        <w:rPr>
          <w:rFonts w:ascii="Arial" w:hAnsi="Arial" w:cs="Arial"/>
          <w:bCs/>
          <w:color w:val="000000"/>
          <w:sz w:val="20"/>
          <w:szCs w:val="20"/>
          <w:lang w:val="en-US"/>
        </w:rPr>
        <w:t xml:space="preserve">By email to: </w:t>
      </w:r>
      <w:hyperlink r:id="rId8" w:history="1">
        <w:r w:rsidR="0065532F" w:rsidRPr="00833DA1">
          <w:rPr>
            <w:rStyle w:val="Hyperlink"/>
            <w:rFonts w:ascii="Arial" w:hAnsi="Arial" w:cs="Arial"/>
            <w:bCs/>
            <w:sz w:val="20"/>
            <w:szCs w:val="20"/>
            <w:lang w:val="en-US"/>
          </w:rPr>
          <w:t>weko@weko.admin.ch</w:t>
        </w:r>
      </w:hyperlink>
    </w:p>
    <w:p w14:paraId="1900B178" w14:textId="77777777" w:rsidR="00B02EC7" w:rsidRPr="00833DA1" w:rsidRDefault="00B02EC7" w:rsidP="008E52AC">
      <w:pPr>
        <w:spacing w:after="120" w:line="280" w:lineRule="atLeast"/>
        <w:jc w:val="both"/>
        <w:rPr>
          <w:rStyle w:val="Hyperlink"/>
          <w:rFonts w:ascii="Arial" w:hAnsi="Arial" w:cs="Arial"/>
          <w:bCs/>
          <w:sz w:val="20"/>
          <w:szCs w:val="20"/>
          <w:lang w:val="en-US"/>
        </w:rPr>
      </w:pPr>
    </w:p>
    <w:p w14:paraId="4AA508BB" w14:textId="77777777" w:rsidR="009F3B7E" w:rsidRPr="00833DA1" w:rsidRDefault="009F3B7E" w:rsidP="008E52AC">
      <w:pPr>
        <w:spacing w:after="120" w:line="280" w:lineRule="atLeast"/>
        <w:jc w:val="both"/>
        <w:rPr>
          <w:rFonts w:ascii="Arial" w:hAnsi="Arial" w:cs="Arial"/>
          <w:bCs/>
          <w:color w:val="000000"/>
          <w:sz w:val="20"/>
          <w:szCs w:val="20"/>
          <w:lang w:val="en-US"/>
        </w:rPr>
      </w:pPr>
    </w:p>
    <w:p w14:paraId="384CDA5B" w14:textId="77777777" w:rsidR="00815C6A" w:rsidRPr="00833DA1" w:rsidRDefault="00000000">
      <w:pPr>
        <w:pStyle w:val="Helvetica"/>
        <w:tabs>
          <w:tab w:val="clear" w:pos="624"/>
          <w:tab w:val="left" w:pos="142"/>
        </w:tabs>
        <w:spacing w:before="720" w:after="720" w:line="280" w:lineRule="atLeast"/>
        <w:rPr>
          <w:rFonts w:ascii="Arial" w:hAnsi="Arial" w:cs="Arial"/>
          <w:b w:val="0"/>
          <w:i/>
          <w:iCs/>
          <w:color w:val="000000"/>
          <w:sz w:val="20"/>
          <w:szCs w:val="20"/>
          <w:lang w:val="en-US"/>
        </w:rPr>
      </w:pPr>
      <w:r w:rsidRPr="00833DA1">
        <w:rPr>
          <w:rFonts w:ascii="Arial" w:hAnsi="Arial" w:cs="Arial"/>
          <w:b w:val="0"/>
          <w:color w:val="000000"/>
          <w:sz w:val="20"/>
          <w:szCs w:val="20"/>
          <w:lang w:val="en-US"/>
        </w:rPr>
        <w:t>Bern</w:t>
      </w:r>
      <w:r w:rsidR="002D14F1" w:rsidRPr="00833DA1">
        <w:rPr>
          <w:rFonts w:ascii="Arial" w:hAnsi="Arial" w:cs="Arial"/>
          <w:b w:val="0"/>
          <w:color w:val="000000"/>
          <w:sz w:val="20"/>
          <w:szCs w:val="20"/>
          <w:lang w:val="en-US"/>
        </w:rPr>
        <w:t xml:space="preserve">, </w:t>
      </w:r>
      <w:r w:rsidR="0002757F" w:rsidRPr="00833DA1">
        <w:rPr>
          <w:rFonts w:ascii="Arial" w:hAnsi="Arial" w:cs="Arial"/>
          <w:b w:val="0"/>
          <w:color w:val="000000"/>
          <w:sz w:val="20"/>
          <w:szCs w:val="20"/>
          <w:lang w:val="en-US"/>
        </w:rPr>
        <w:t>September 2</w:t>
      </w:r>
      <w:r w:rsidR="002D14F1" w:rsidRPr="00833DA1">
        <w:rPr>
          <w:rFonts w:ascii="Arial" w:hAnsi="Arial" w:cs="Arial"/>
          <w:b w:val="0"/>
          <w:color w:val="000000"/>
          <w:sz w:val="20"/>
          <w:szCs w:val="20"/>
          <w:lang w:val="en-US"/>
        </w:rPr>
        <w:t>, 2022</w:t>
      </w:r>
    </w:p>
    <w:p w14:paraId="7761A887" w14:textId="77777777" w:rsidR="00815C6A" w:rsidRPr="00833DA1" w:rsidRDefault="00000000">
      <w:pPr>
        <w:spacing w:line="280" w:lineRule="atLeast"/>
        <w:jc w:val="both"/>
        <w:rPr>
          <w:rFonts w:ascii="Arial" w:eastAsia="Calibri" w:hAnsi="Arial" w:cs="Arial"/>
          <w:b/>
          <w:bCs/>
          <w:sz w:val="20"/>
          <w:szCs w:val="20"/>
          <w:lang w:val="en-US"/>
        </w:rPr>
      </w:pPr>
      <w:r w:rsidRPr="00833DA1">
        <w:rPr>
          <w:rFonts w:ascii="Arial" w:eastAsia="Calibri" w:hAnsi="Arial" w:cs="Arial"/>
          <w:b/>
          <w:bCs/>
          <w:sz w:val="20"/>
          <w:szCs w:val="20"/>
          <w:lang w:val="en-US"/>
        </w:rPr>
        <w:t>SwissHoldings Statement</w:t>
      </w:r>
    </w:p>
    <w:p w14:paraId="788B2A37" w14:textId="77777777" w:rsidR="00815C6A" w:rsidRPr="00833DA1" w:rsidRDefault="00000000">
      <w:pPr>
        <w:spacing w:line="280" w:lineRule="atLeast"/>
        <w:jc w:val="both"/>
        <w:rPr>
          <w:rFonts w:ascii="Arial" w:eastAsia="Calibri" w:hAnsi="Arial" w:cs="Arial"/>
          <w:b/>
          <w:bCs/>
          <w:sz w:val="20"/>
          <w:szCs w:val="20"/>
          <w:lang w:val="en-US"/>
        </w:rPr>
      </w:pPr>
      <w:r w:rsidRPr="00833DA1">
        <w:rPr>
          <w:rFonts w:ascii="Arial" w:eastAsia="Calibri" w:hAnsi="Arial" w:cs="Arial"/>
          <w:b/>
          <w:bCs/>
          <w:sz w:val="20"/>
          <w:szCs w:val="20"/>
          <w:lang w:val="en-US"/>
        </w:rPr>
        <w:t>Consultation procedure</w:t>
      </w:r>
      <w:bookmarkStart w:id="0" w:name="_Hlk113018689"/>
      <w:r w:rsidR="00867CB8" w:rsidRPr="00833DA1">
        <w:rPr>
          <w:rFonts w:ascii="Arial" w:eastAsia="Calibri" w:hAnsi="Arial" w:cs="Arial"/>
          <w:b/>
          <w:bCs/>
          <w:sz w:val="20"/>
          <w:szCs w:val="20"/>
          <w:lang w:val="en-US"/>
        </w:rPr>
        <w:t xml:space="preserve"> on the </w:t>
      </w:r>
      <w:r w:rsidRPr="00833DA1">
        <w:rPr>
          <w:rFonts w:ascii="Arial" w:eastAsia="Calibri" w:hAnsi="Arial" w:cs="Arial"/>
          <w:b/>
          <w:bCs/>
          <w:sz w:val="20"/>
          <w:szCs w:val="20"/>
          <w:lang w:val="en-US"/>
        </w:rPr>
        <w:t xml:space="preserve">revision of </w:t>
      </w:r>
      <w:r w:rsidR="00867CB8" w:rsidRPr="00833DA1">
        <w:rPr>
          <w:rFonts w:ascii="Arial" w:eastAsia="Calibri" w:hAnsi="Arial" w:cs="Arial"/>
          <w:b/>
          <w:bCs/>
          <w:sz w:val="20"/>
          <w:szCs w:val="20"/>
          <w:lang w:val="en-US"/>
        </w:rPr>
        <w:t xml:space="preserve">the </w:t>
      </w:r>
      <w:r w:rsidRPr="00833DA1">
        <w:rPr>
          <w:rFonts w:ascii="Arial" w:eastAsia="Calibri" w:hAnsi="Arial" w:cs="Arial"/>
          <w:b/>
          <w:bCs/>
          <w:sz w:val="20"/>
          <w:szCs w:val="20"/>
          <w:lang w:val="en-US"/>
        </w:rPr>
        <w:t>Verticals Notice - Consultation drafts of the Verticals Notice (VertBek) and the VertBek explanatory notes</w:t>
      </w:r>
      <w:bookmarkEnd w:id="0"/>
    </w:p>
    <w:p w14:paraId="0DDF84D5" w14:textId="77777777" w:rsidR="00CB4BF3" w:rsidRPr="00833DA1" w:rsidRDefault="00CB4BF3" w:rsidP="008E52AC">
      <w:pPr>
        <w:spacing w:after="120" w:line="280" w:lineRule="atLeast"/>
        <w:jc w:val="both"/>
        <w:rPr>
          <w:rFonts w:ascii="Arial" w:hAnsi="Arial" w:cs="Arial"/>
          <w:color w:val="000000"/>
          <w:sz w:val="20"/>
          <w:szCs w:val="20"/>
          <w:lang w:val="en-US"/>
        </w:rPr>
      </w:pPr>
    </w:p>
    <w:p w14:paraId="52F794CD" w14:textId="77777777" w:rsidR="00815C6A" w:rsidRPr="00833DA1" w:rsidRDefault="00000000">
      <w:pPr>
        <w:spacing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 xml:space="preserve">Dear Prof. </w:t>
      </w:r>
      <w:proofErr w:type="gramStart"/>
      <w:r w:rsidRPr="00833DA1">
        <w:rPr>
          <w:rFonts w:ascii="Arial" w:hAnsi="Arial" w:cs="Arial"/>
          <w:color w:val="000000"/>
          <w:sz w:val="20"/>
          <w:szCs w:val="20"/>
          <w:lang w:val="en-US"/>
        </w:rPr>
        <w:t>Dr.</w:t>
      </w:r>
      <w:proofErr w:type="gramEnd"/>
      <w:r w:rsidRPr="00833DA1">
        <w:rPr>
          <w:rFonts w:ascii="Arial" w:hAnsi="Arial" w:cs="Arial"/>
          <w:color w:val="000000"/>
          <w:sz w:val="20"/>
          <w:szCs w:val="20"/>
          <w:lang w:val="en-US"/>
        </w:rPr>
        <w:t xml:space="preserve"> Ducrey</w:t>
      </w:r>
    </w:p>
    <w:p w14:paraId="7F1469DD" w14:textId="77777777" w:rsidR="00815C6A" w:rsidRPr="00833DA1" w:rsidRDefault="00000000">
      <w:pPr>
        <w:spacing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Dear Dr. Graber</w:t>
      </w:r>
    </w:p>
    <w:p w14:paraId="4D2E4AFB" w14:textId="77777777" w:rsidR="00815C6A" w:rsidRPr="00833DA1" w:rsidRDefault="00000000">
      <w:pPr>
        <w:spacing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Dear Ladies and Gentlemen</w:t>
      </w:r>
    </w:p>
    <w:p w14:paraId="03FF573A" w14:textId="77777777" w:rsidR="00841ACE" w:rsidRPr="00833DA1" w:rsidRDefault="00841ACE" w:rsidP="008E52AC">
      <w:pPr>
        <w:spacing w:after="120" w:line="280" w:lineRule="atLeast"/>
        <w:jc w:val="both"/>
        <w:rPr>
          <w:rFonts w:ascii="Arial" w:hAnsi="Arial" w:cs="Arial"/>
          <w:color w:val="000000"/>
          <w:sz w:val="20"/>
          <w:szCs w:val="20"/>
          <w:lang w:val="en-US"/>
        </w:rPr>
      </w:pPr>
    </w:p>
    <w:p w14:paraId="75C20FF4" w14:textId="77777777" w:rsidR="00815C6A" w:rsidRPr="00833DA1" w:rsidRDefault="00000000">
      <w:pPr>
        <w:spacing w:after="120" w:line="280" w:lineRule="atLeast"/>
        <w:jc w:val="both"/>
        <w:rPr>
          <w:rFonts w:ascii="Arial" w:hAnsi="Arial" w:cs="Arial"/>
          <w:i/>
          <w:iCs/>
          <w:color w:val="000000"/>
          <w:sz w:val="20"/>
          <w:szCs w:val="20"/>
          <w:lang w:val="en-US"/>
        </w:rPr>
      </w:pPr>
      <w:r w:rsidRPr="00833DA1">
        <w:rPr>
          <w:rFonts w:ascii="Arial" w:hAnsi="Arial" w:cs="Arial"/>
          <w:i/>
          <w:iCs/>
          <w:color w:val="000000"/>
          <w:sz w:val="20"/>
          <w:szCs w:val="20"/>
          <w:lang w:val="en-US"/>
        </w:rPr>
        <w:t xml:space="preserve">SwissHoldings, the association of industrial and service companies in Switzerland, comprises 61 member companies, the majority of which are listed on the SIX Swiss Exchange. The listed members of our association together account for around </w:t>
      </w:r>
      <w:r w:rsidR="002C67A6" w:rsidRPr="00833DA1">
        <w:rPr>
          <w:rFonts w:ascii="Arial" w:hAnsi="Arial" w:cs="Arial"/>
          <w:i/>
          <w:iCs/>
          <w:color w:val="000000"/>
          <w:sz w:val="20"/>
          <w:szCs w:val="20"/>
          <w:lang w:val="en-US"/>
        </w:rPr>
        <w:t xml:space="preserve">66 </w:t>
      </w:r>
      <w:r w:rsidRPr="00833DA1">
        <w:rPr>
          <w:rFonts w:ascii="Arial" w:hAnsi="Arial" w:cs="Arial"/>
          <w:i/>
          <w:iCs/>
          <w:color w:val="000000"/>
          <w:sz w:val="20"/>
          <w:szCs w:val="20"/>
          <w:lang w:val="en-US"/>
        </w:rPr>
        <w:t>percent of total market capitalization.</w:t>
      </w:r>
    </w:p>
    <w:p w14:paraId="30EAF336" w14:textId="77777777" w:rsidR="008E52AC" w:rsidRPr="00833DA1" w:rsidRDefault="008E52AC" w:rsidP="008E52AC">
      <w:pPr>
        <w:spacing w:after="120" w:line="280" w:lineRule="atLeast"/>
        <w:jc w:val="both"/>
        <w:rPr>
          <w:rFonts w:ascii="Arial" w:hAnsi="Arial" w:cs="Arial"/>
          <w:color w:val="000000"/>
          <w:sz w:val="20"/>
          <w:szCs w:val="20"/>
          <w:lang w:val="en-US"/>
        </w:rPr>
      </w:pPr>
    </w:p>
    <w:p w14:paraId="408123ED" w14:textId="77777777" w:rsidR="00815C6A" w:rsidRDefault="00000000">
      <w:pPr>
        <w:spacing w:after="120" w:line="280" w:lineRule="atLeast"/>
        <w:jc w:val="both"/>
        <w:rPr>
          <w:rFonts w:ascii="Arial" w:hAnsi="Arial" w:cs="Arial"/>
          <w:color w:val="000000"/>
          <w:sz w:val="20"/>
          <w:szCs w:val="20"/>
          <w:lang w:val="de-LI"/>
        </w:rPr>
      </w:pPr>
      <w:r w:rsidRPr="00833DA1">
        <w:rPr>
          <w:rFonts w:ascii="Arial" w:hAnsi="Arial" w:cs="Arial"/>
          <w:color w:val="000000"/>
          <w:sz w:val="20"/>
          <w:szCs w:val="20"/>
          <w:lang w:val="en-US"/>
        </w:rPr>
        <w:t xml:space="preserve">On July 5, 2022, the Competition Commission (WEKO) published drafts for a revised Verticals Notice (E-VertBek) together with associated explanations (E-VertBek explanations) and invited you to submit your comments for consultation. We thank you for the invitation to comment on the above-mentioned consultation. </w:t>
      </w:r>
      <w:r w:rsidRPr="00841ACE">
        <w:rPr>
          <w:rFonts w:ascii="Arial" w:hAnsi="Arial" w:cs="Arial"/>
          <w:color w:val="000000"/>
          <w:sz w:val="20"/>
          <w:szCs w:val="20"/>
          <w:lang w:val="de-LI"/>
        </w:rPr>
        <w:t>We are pleased to submit our comments as follows:</w:t>
      </w:r>
    </w:p>
    <w:p w14:paraId="354C159D" w14:textId="77777777" w:rsidR="00214E1B" w:rsidRPr="00841ACE" w:rsidRDefault="00214E1B" w:rsidP="008E52AC">
      <w:pPr>
        <w:spacing w:after="120" w:line="280" w:lineRule="atLeast"/>
        <w:jc w:val="both"/>
        <w:rPr>
          <w:rFonts w:ascii="Arial" w:hAnsi="Arial" w:cs="Arial"/>
          <w:color w:val="000000"/>
          <w:sz w:val="20"/>
          <w:szCs w:val="20"/>
          <w:lang w:val="de-LI"/>
        </w:rPr>
      </w:pPr>
    </w:p>
    <w:tbl>
      <w:tblPr>
        <w:tblStyle w:val="Tabellenraster"/>
        <w:tblW w:w="0" w:type="auto"/>
        <w:tblLook w:val="04A0" w:firstRow="1" w:lastRow="0" w:firstColumn="1" w:lastColumn="0" w:noHBand="0" w:noVBand="1"/>
      </w:tblPr>
      <w:tblGrid>
        <w:gridCol w:w="8771"/>
      </w:tblGrid>
      <w:tr w:rsidR="00841ACE" w:rsidRPr="008E52AC" w14:paraId="098FE655" w14:textId="77777777" w:rsidTr="00841ACE">
        <w:tc>
          <w:tcPr>
            <w:tcW w:w="8771" w:type="dxa"/>
            <w:tcBorders>
              <w:bottom w:val="nil"/>
            </w:tcBorders>
          </w:tcPr>
          <w:p w14:paraId="42E5EBB2" w14:textId="77777777" w:rsidR="00815C6A" w:rsidRDefault="00000000">
            <w:pPr>
              <w:spacing w:after="120" w:line="280" w:lineRule="atLeast"/>
              <w:jc w:val="both"/>
              <w:rPr>
                <w:rFonts w:ascii="Arial" w:hAnsi="Arial" w:cs="Arial"/>
                <w:b/>
                <w:bCs/>
                <w:color w:val="000000"/>
                <w:sz w:val="20"/>
                <w:szCs w:val="20"/>
                <w:lang w:val="de-LI"/>
              </w:rPr>
            </w:pPr>
            <w:bookmarkStart w:id="1" w:name="_Hlk112997805"/>
            <w:r w:rsidRPr="00841ACE">
              <w:rPr>
                <w:rFonts w:ascii="Arial" w:hAnsi="Arial" w:cs="Arial"/>
                <w:b/>
                <w:bCs/>
                <w:color w:val="000000"/>
                <w:sz w:val="20"/>
                <w:szCs w:val="20"/>
                <w:lang w:val="de-LI"/>
              </w:rPr>
              <w:t>Summary</w:t>
            </w:r>
          </w:p>
        </w:tc>
      </w:tr>
      <w:tr w:rsidR="00841ACE" w:rsidRPr="00833DA1" w14:paraId="118588F6" w14:textId="77777777" w:rsidTr="00841ACE">
        <w:tc>
          <w:tcPr>
            <w:tcW w:w="8771" w:type="dxa"/>
            <w:tcBorders>
              <w:top w:val="nil"/>
            </w:tcBorders>
          </w:tcPr>
          <w:p w14:paraId="7083F61C"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The E-VertBek and the E-VertBek Explanatory Notes available for consultation</w:t>
            </w:r>
            <w:bookmarkStart w:id="2" w:name="_Hlk112855876"/>
            <w:r w:rsidRPr="00833DA1">
              <w:rPr>
                <w:rFonts w:ascii="Arial" w:hAnsi="Arial" w:cs="Arial"/>
                <w:color w:val="000000"/>
                <w:sz w:val="20"/>
                <w:szCs w:val="20"/>
                <w:lang w:val="en-US"/>
              </w:rPr>
              <w:t xml:space="preserve"> contain generally welcome adjustments,</w:t>
            </w:r>
            <w:bookmarkStart w:id="3" w:name="_Hlk113018639"/>
            <w:r w:rsidRPr="00833DA1">
              <w:rPr>
                <w:rFonts w:ascii="Arial" w:hAnsi="Arial" w:cs="Arial"/>
                <w:color w:val="000000"/>
                <w:sz w:val="20"/>
                <w:szCs w:val="20"/>
                <w:lang w:val="en-US"/>
              </w:rPr>
              <w:t xml:space="preserve"> which are intended to ensure consistency with the EU competition rules in the vertical area. For a number of points, the E-VertBek and the E-VertBek Explanatory Notes provide for stricter rules or loopholes </w:t>
            </w:r>
            <w:proofErr w:type="gramStart"/>
            <w:r w:rsidRPr="00833DA1">
              <w:rPr>
                <w:rFonts w:ascii="Arial" w:hAnsi="Arial" w:cs="Arial"/>
                <w:color w:val="000000"/>
                <w:sz w:val="20"/>
                <w:szCs w:val="20"/>
                <w:lang w:val="en-US"/>
              </w:rPr>
              <w:t xml:space="preserve">from </w:t>
            </w:r>
            <w:bookmarkEnd w:id="2"/>
            <w:bookmarkEnd w:id="3"/>
            <w:r w:rsidRPr="00833DA1">
              <w:rPr>
                <w:rFonts w:ascii="Arial" w:hAnsi="Arial" w:cs="Arial"/>
                <w:color w:val="000000"/>
                <w:sz w:val="20"/>
                <w:szCs w:val="20"/>
                <w:lang w:val="en-US"/>
              </w:rPr>
              <w:t xml:space="preserve"> that</w:t>
            </w:r>
            <w:proofErr w:type="gramEnd"/>
            <w:r w:rsidRPr="00833DA1">
              <w:rPr>
                <w:rFonts w:ascii="Arial" w:hAnsi="Arial" w:cs="Arial"/>
                <w:color w:val="000000"/>
                <w:sz w:val="20"/>
                <w:szCs w:val="20"/>
                <w:lang w:val="en-US"/>
              </w:rPr>
              <w:t xml:space="preserve"> are not absolutely necessary in our view (e.g. tacit extension of non-competition clauses, stricter evaluation criteria of non-binding price recommendations; cf. on this below). </w:t>
            </w:r>
            <w:bookmarkStart w:id="4" w:name="_Hlk113018658"/>
            <w:r w:rsidR="00D8079F" w:rsidRPr="00833DA1">
              <w:rPr>
                <w:rFonts w:ascii="Arial" w:hAnsi="Arial" w:cs="Arial"/>
                <w:color w:val="000000"/>
                <w:sz w:val="20"/>
                <w:szCs w:val="20"/>
                <w:lang w:val="en-US"/>
              </w:rPr>
              <w:t>This "Swiss Finish" means that in antitrust distribution practice, contracts with an impact on Switzerland would also have to be examined in accordance with the stricter Swiss rules in the future.</w:t>
            </w:r>
            <w:bookmarkEnd w:id="4"/>
          </w:p>
        </w:tc>
      </w:tr>
      <w:bookmarkEnd w:id="1"/>
    </w:tbl>
    <w:p w14:paraId="4AE3F15A" w14:textId="77777777" w:rsidR="00841ACE" w:rsidRPr="00833DA1" w:rsidRDefault="00841ACE" w:rsidP="008E52AC">
      <w:pPr>
        <w:spacing w:after="120" w:line="280" w:lineRule="atLeast"/>
        <w:jc w:val="both"/>
        <w:rPr>
          <w:rFonts w:ascii="Arial" w:hAnsi="Arial" w:cs="Arial"/>
          <w:color w:val="000000"/>
          <w:sz w:val="20"/>
          <w:szCs w:val="20"/>
          <w:lang w:val="en-US"/>
        </w:rPr>
      </w:pPr>
    </w:p>
    <w:p w14:paraId="25AED513" w14:textId="77777777" w:rsidR="00815C6A" w:rsidRPr="00833DA1" w:rsidRDefault="00000000">
      <w:pPr>
        <w:pStyle w:val="Listenabsatz"/>
        <w:numPr>
          <w:ilvl w:val="0"/>
          <w:numId w:val="28"/>
        </w:numPr>
        <w:spacing w:before="360" w:after="120" w:line="280" w:lineRule="atLeast"/>
        <w:ind w:left="425" w:hanging="425"/>
        <w:jc w:val="both"/>
        <w:rPr>
          <w:rFonts w:ascii="Arial" w:hAnsi="Arial" w:cs="Arial"/>
          <w:b/>
          <w:bCs/>
          <w:color w:val="000000"/>
          <w:sz w:val="20"/>
          <w:szCs w:val="20"/>
          <w:lang w:val="en-US"/>
        </w:rPr>
      </w:pPr>
      <w:r w:rsidRPr="00833DA1">
        <w:rPr>
          <w:rFonts w:ascii="Arial" w:hAnsi="Arial" w:cs="Arial"/>
          <w:b/>
          <w:bCs/>
          <w:color w:val="000000"/>
          <w:sz w:val="20"/>
          <w:szCs w:val="20"/>
          <w:lang w:val="en-US"/>
        </w:rPr>
        <w:lastRenderedPageBreak/>
        <w:t>European compatibility of Swiss competition rules in the vertical sector</w:t>
      </w:r>
    </w:p>
    <w:p w14:paraId="3F310967"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According to its introductory recital VII, the E-VertBek is intended to enable alignment with European law and</w:t>
      </w:r>
      <w:proofErr w:type="gramStart"/>
      <w:r w:rsidRPr="00833DA1">
        <w:rPr>
          <w:rFonts w:ascii="Arial" w:hAnsi="Arial" w:cs="Arial"/>
          <w:color w:val="000000"/>
          <w:sz w:val="20"/>
          <w:szCs w:val="20"/>
          <w:lang w:val="en-US"/>
        </w:rPr>
        <w:t>, in particular, with</w:t>
      </w:r>
      <w:proofErr w:type="gramEnd"/>
      <w:r w:rsidRPr="00833DA1">
        <w:rPr>
          <w:rFonts w:ascii="Arial" w:hAnsi="Arial" w:cs="Arial"/>
          <w:color w:val="000000"/>
          <w:sz w:val="20"/>
          <w:szCs w:val="20"/>
          <w:lang w:val="en-US"/>
        </w:rPr>
        <w:t xml:space="preserve"> the EU rules in the vertical area (cf. also the WEKO's consultation letter of 5 July 2022). SwissHoldings supports the alignment of the E-VertBek and the E-VertBek explanatory notes with the new European Vertical Block Exemption Regulation and the Vertical Guidelines, which have been in force since June 1, 2022, and in particular shares the thrust towards Euro-compatible competition rules for Switzerland. </w:t>
      </w:r>
      <w:bookmarkStart w:id="5" w:name="_Hlk112774698"/>
    </w:p>
    <w:p w14:paraId="5742838B"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It is a concern of SwissHoldings that especially in this area stricter special regulations for Switzerland ("</w:t>
      </w:r>
      <w:bookmarkStart w:id="6" w:name="_Hlk112856162"/>
      <w:r w:rsidRPr="00833DA1">
        <w:rPr>
          <w:rFonts w:ascii="Arial" w:hAnsi="Arial" w:cs="Arial"/>
          <w:color w:val="000000"/>
          <w:sz w:val="20"/>
          <w:szCs w:val="20"/>
          <w:lang w:val="en-US"/>
        </w:rPr>
        <w:t xml:space="preserve"> Swiss Finish</w:t>
      </w:r>
      <w:bookmarkEnd w:id="6"/>
      <w:r w:rsidRPr="00833DA1">
        <w:rPr>
          <w:rFonts w:ascii="Arial" w:hAnsi="Arial" w:cs="Arial"/>
          <w:color w:val="000000"/>
          <w:sz w:val="20"/>
          <w:szCs w:val="20"/>
          <w:lang w:val="en-US"/>
        </w:rPr>
        <w:t xml:space="preserve"> ") should be </w:t>
      </w:r>
      <w:proofErr w:type="gramStart"/>
      <w:r w:rsidRPr="00833DA1">
        <w:rPr>
          <w:rFonts w:ascii="Arial" w:hAnsi="Arial" w:cs="Arial"/>
          <w:color w:val="000000"/>
          <w:sz w:val="20"/>
          <w:szCs w:val="20"/>
          <w:lang w:val="en-US"/>
        </w:rPr>
        <w:t>omitted</w:t>
      </w:r>
      <w:bookmarkEnd w:id="5"/>
      <w:r w:rsidRPr="00833DA1">
        <w:rPr>
          <w:rFonts w:ascii="Arial" w:hAnsi="Arial" w:cs="Arial"/>
          <w:color w:val="000000"/>
          <w:sz w:val="20"/>
          <w:szCs w:val="20"/>
          <w:lang w:val="en-US"/>
        </w:rPr>
        <w:t xml:space="preserve"> .</w:t>
      </w:r>
      <w:proofErr w:type="gramEnd"/>
    </w:p>
    <w:p w14:paraId="2DBD3E25" w14:textId="77777777" w:rsidR="00815C6A" w:rsidRPr="00833DA1" w:rsidRDefault="00000000">
      <w:pPr>
        <w:pStyle w:val="Listenabsatz"/>
        <w:numPr>
          <w:ilvl w:val="0"/>
          <w:numId w:val="28"/>
        </w:numPr>
        <w:spacing w:before="360" w:after="120" w:line="280" w:lineRule="atLeast"/>
        <w:ind w:left="425" w:hanging="425"/>
        <w:jc w:val="both"/>
        <w:rPr>
          <w:rFonts w:ascii="Arial" w:hAnsi="Arial" w:cs="Arial"/>
          <w:b/>
          <w:bCs/>
          <w:color w:val="000000"/>
          <w:sz w:val="20"/>
          <w:szCs w:val="20"/>
          <w:lang w:val="en-US"/>
        </w:rPr>
      </w:pPr>
      <w:r w:rsidRPr="00833DA1">
        <w:rPr>
          <w:rFonts w:ascii="Arial" w:hAnsi="Arial" w:cs="Arial"/>
          <w:b/>
          <w:bCs/>
          <w:color w:val="000000"/>
          <w:sz w:val="20"/>
          <w:szCs w:val="20"/>
          <w:lang w:val="en-US"/>
        </w:rPr>
        <w:t>Tacit extension of the five-year period for non-competition clauses</w:t>
      </w:r>
    </w:p>
    <w:p w14:paraId="5005D254"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The EU Commission has clarified in the new Verticals Guidelines (para</w:t>
      </w:r>
      <w:r w:rsidR="0002757F" w:rsidRPr="00833DA1">
        <w:rPr>
          <w:rFonts w:ascii="Arial" w:hAnsi="Arial" w:cs="Arial"/>
          <w:color w:val="000000"/>
          <w:sz w:val="20"/>
          <w:szCs w:val="20"/>
          <w:lang w:val="en-US"/>
        </w:rPr>
        <w:t xml:space="preserve">. </w:t>
      </w:r>
      <w:r w:rsidRPr="00833DA1">
        <w:rPr>
          <w:rFonts w:ascii="Arial" w:hAnsi="Arial" w:cs="Arial"/>
          <w:color w:val="000000"/>
          <w:sz w:val="20"/>
          <w:szCs w:val="20"/>
          <w:lang w:val="en-US"/>
        </w:rPr>
        <w:t xml:space="preserve">248) that non-compete agreements concluded for a period of five years may also be tacitly extended beyond this period and fall within the scope of the block exemption, </w:t>
      </w:r>
      <w:proofErr w:type="gramStart"/>
      <w:r w:rsidRPr="00833DA1">
        <w:rPr>
          <w:rFonts w:ascii="Arial" w:hAnsi="Arial" w:cs="Arial"/>
          <w:color w:val="000000"/>
          <w:sz w:val="20"/>
          <w:szCs w:val="20"/>
          <w:lang w:val="en-US"/>
        </w:rPr>
        <w:t>provided that</w:t>
      </w:r>
      <w:proofErr w:type="gramEnd"/>
      <w:r w:rsidRPr="00833DA1">
        <w:rPr>
          <w:rFonts w:ascii="Arial" w:hAnsi="Arial" w:cs="Arial"/>
          <w:color w:val="000000"/>
          <w:sz w:val="20"/>
          <w:szCs w:val="20"/>
          <w:lang w:val="en-US"/>
        </w:rPr>
        <w:t xml:space="preserve"> there are reasonable possibilities for termination and renegotiation. Neither in the E-VertBek nor in the E-VertBek explanatory notes is there an equivalent to this clarification in the Vertical Guidelines. </w:t>
      </w:r>
    </w:p>
    <w:p w14:paraId="0A62C5E6"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The absence of such a parallel regulation in Switzerland could lead to legal uncertainties and it is not comprehensible why a more liberal regulation modeled on the European Vertical Guidelines should be omitted.</w:t>
      </w:r>
    </w:p>
    <w:p w14:paraId="0A4EB2D1" w14:textId="77777777" w:rsidR="00815C6A" w:rsidRDefault="00000000">
      <w:pPr>
        <w:pStyle w:val="Listenabsatz"/>
        <w:numPr>
          <w:ilvl w:val="0"/>
          <w:numId w:val="28"/>
        </w:numPr>
        <w:spacing w:before="360" w:after="120" w:line="280" w:lineRule="atLeast"/>
        <w:ind w:left="425" w:hanging="425"/>
        <w:jc w:val="both"/>
        <w:rPr>
          <w:rFonts w:ascii="Arial" w:hAnsi="Arial" w:cs="Arial"/>
          <w:b/>
          <w:bCs/>
          <w:color w:val="000000"/>
          <w:sz w:val="20"/>
          <w:szCs w:val="20"/>
          <w:lang w:val="de-LI"/>
        </w:rPr>
      </w:pPr>
      <w:r w:rsidRPr="008E52AC">
        <w:rPr>
          <w:rFonts w:ascii="Arial" w:hAnsi="Arial" w:cs="Arial"/>
          <w:b/>
          <w:bCs/>
          <w:color w:val="000000"/>
          <w:sz w:val="20"/>
          <w:szCs w:val="20"/>
          <w:lang w:val="de-LI"/>
        </w:rPr>
        <w:t>Admissibility of recommended retail prices</w:t>
      </w:r>
    </w:p>
    <w:p w14:paraId="082EC07D"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Art. 4 let. a of the Vertical Block Exemption Regulation and the Vertical Guidelines (para</w:t>
      </w:r>
      <w:r w:rsidR="008E52AC" w:rsidRPr="00833DA1">
        <w:rPr>
          <w:rFonts w:ascii="Arial" w:hAnsi="Arial" w:cs="Arial"/>
          <w:color w:val="000000"/>
          <w:sz w:val="20"/>
          <w:szCs w:val="20"/>
          <w:lang w:val="en-US"/>
        </w:rPr>
        <w:t xml:space="preserve">. </w:t>
      </w:r>
      <w:r w:rsidRPr="00833DA1">
        <w:rPr>
          <w:rFonts w:ascii="Arial" w:hAnsi="Arial" w:cs="Arial"/>
          <w:color w:val="000000"/>
          <w:sz w:val="20"/>
          <w:szCs w:val="20"/>
          <w:lang w:val="en-US"/>
        </w:rPr>
        <w:t xml:space="preserve">188) provide guidance on the permissibility of price recommendations, provided that such recommendations do not have the effect of fixed </w:t>
      </w:r>
      <w:r w:rsidRPr="00833DA1">
        <w:rPr>
          <w:rFonts w:ascii="Arial" w:hAnsi="Arial" w:cs="Arial"/>
          <w:color w:val="000000"/>
          <w:sz w:val="20"/>
          <w:szCs w:val="20"/>
          <w:u w:val="single"/>
          <w:lang w:val="en-US"/>
        </w:rPr>
        <w:t xml:space="preserve">or </w:t>
      </w:r>
      <w:r w:rsidRPr="00833DA1">
        <w:rPr>
          <w:rFonts w:ascii="Arial" w:hAnsi="Arial" w:cs="Arial"/>
          <w:color w:val="000000"/>
          <w:sz w:val="20"/>
          <w:szCs w:val="20"/>
          <w:lang w:val="en-US"/>
        </w:rPr>
        <w:t>minimum selling prices as a result of the</w:t>
      </w:r>
      <w:bookmarkStart w:id="7" w:name="_Hlk112785079"/>
      <w:r w:rsidRPr="00833DA1">
        <w:rPr>
          <w:rFonts w:ascii="Arial" w:hAnsi="Arial" w:cs="Arial"/>
          <w:color w:val="000000"/>
          <w:sz w:val="20"/>
          <w:szCs w:val="20"/>
          <w:u w:val="single"/>
          <w:lang w:val="en-US"/>
        </w:rPr>
        <w:t xml:space="preserve"> exercise of pressure or the granting of </w:t>
      </w:r>
      <w:proofErr w:type="gramStart"/>
      <w:r w:rsidRPr="00833DA1">
        <w:rPr>
          <w:rFonts w:ascii="Arial" w:hAnsi="Arial" w:cs="Arial"/>
          <w:color w:val="000000"/>
          <w:sz w:val="20"/>
          <w:szCs w:val="20"/>
          <w:u w:val="single"/>
          <w:lang w:val="en-US"/>
        </w:rPr>
        <w:t>incentives .</w:t>
      </w:r>
      <w:proofErr w:type="gramEnd"/>
      <w:r w:rsidRPr="00833DA1">
        <w:rPr>
          <w:rFonts w:ascii="Arial" w:hAnsi="Arial" w:cs="Arial"/>
          <w:color w:val="000000"/>
          <w:sz w:val="20"/>
          <w:szCs w:val="20"/>
          <w:u w:val="single"/>
          <w:lang w:val="en-US"/>
        </w:rPr>
        <w:t xml:space="preserve"> </w:t>
      </w:r>
      <w:bookmarkEnd w:id="7"/>
    </w:p>
    <w:p w14:paraId="049B369C"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In contrast, the previously existing explanations on price recommendations in the E-VertBek have been largely removed. In the future, this practice-relevant topic will only be dealt with in the E-VertBek explanatory notes. Materially, the E-VertBek explanatory notes (para</w:t>
      </w:r>
      <w:r w:rsidR="0002757F" w:rsidRPr="00833DA1">
        <w:rPr>
          <w:rFonts w:ascii="Arial" w:hAnsi="Arial" w:cs="Arial"/>
          <w:color w:val="000000"/>
          <w:sz w:val="20"/>
          <w:szCs w:val="20"/>
          <w:lang w:val="en-US"/>
        </w:rPr>
        <w:t xml:space="preserve">. </w:t>
      </w:r>
      <w:r w:rsidRPr="00833DA1">
        <w:rPr>
          <w:rFonts w:ascii="Arial" w:hAnsi="Arial" w:cs="Arial"/>
          <w:color w:val="000000"/>
          <w:sz w:val="20"/>
          <w:szCs w:val="20"/>
          <w:lang w:val="en-US"/>
        </w:rPr>
        <w:t xml:space="preserve">8) deviate from the current European standard and provide for "pressure" or "granting of incentives" only as a possible criterion for assessing the permissibility of price recommendations. The </w:t>
      </w:r>
      <w:r w:rsidRPr="00833DA1">
        <w:rPr>
          <w:rFonts w:ascii="Arial" w:hAnsi="Arial" w:cs="Arial"/>
          <w:color w:val="000000"/>
          <w:sz w:val="20"/>
          <w:szCs w:val="20"/>
          <w:u w:val="single"/>
          <w:lang w:val="en-US"/>
        </w:rPr>
        <w:t xml:space="preserve">special case dealt with in the Federal Court ruling in the case of "Pfizer" </w:t>
      </w:r>
      <w:r w:rsidRPr="00833DA1">
        <w:rPr>
          <w:rFonts w:ascii="Arial" w:hAnsi="Arial" w:cs="Arial"/>
          <w:color w:val="000000"/>
          <w:sz w:val="20"/>
          <w:szCs w:val="20"/>
          <w:lang w:val="en-US"/>
        </w:rPr>
        <w:t>is given undue weight in the E-VertBek explanatory notes. The criteria derived from this, "coordination", for example in the form of "particularly intensive communication", and "coordination success" do not appear to be so generalizable and are not appropriate for application in corporate practice. In the vast majority of distribution networks, relatively intensive communication is conducted for the benefit of business success, while the manufacturer generally has no knowledge of the actual degree of compliance with price recommendations on the part of its distribution partners (</w:t>
      </w:r>
      <w:proofErr w:type="gramStart"/>
      <w:r w:rsidRPr="00833DA1">
        <w:rPr>
          <w:rFonts w:ascii="Arial" w:hAnsi="Arial" w:cs="Arial"/>
          <w:color w:val="000000"/>
          <w:sz w:val="20"/>
          <w:szCs w:val="20"/>
          <w:lang w:val="en-US"/>
        </w:rPr>
        <w:t>i.e.</w:t>
      </w:r>
      <w:proofErr w:type="gramEnd"/>
      <w:r w:rsidRPr="00833DA1">
        <w:rPr>
          <w:rFonts w:ascii="Arial" w:hAnsi="Arial" w:cs="Arial"/>
          <w:color w:val="000000"/>
          <w:sz w:val="20"/>
          <w:szCs w:val="20"/>
          <w:lang w:val="en-US"/>
        </w:rPr>
        <w:t xml:space="preserve"> the "success of coordination"). </w:t>
      </w:r>
    </w:p>
    <w:p w14:paraId="518A9ED1"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SwissHoldings would welcome it if the current European standard were taken as a basis for the evaluation of non-binding price recommendations in the consultation drafts (cf. above) and a stricter special Swiss regulation were omitted in this area.</w:t>
      </w:r>
    </w:p>
    <w:p w14:paraId="4DFB8ED8" w14:textId="77777777" w:rsidR="00815C6A" w:rsidRDefault="00000000">
      <w:pPr>
        <w:pStyle w:val="Listenabsatz"/>
        <w:numPr>
          <w:ilvl w:val="0"/>
          <w:numId w:val="28"/>
        </w:numPr>
        <w:spacing w:before="360" w:after="120" w:line="280" w:lineRule="atLeast"/>
        <w:ind w:left="425" w:hanging="425"/>
        <w:jc w:val="both"/>
        <w:rPr>
          <w:rFonts w:ascii="Arial" w:hAnsi="Arial" w:cs="Arial"/>
          <w:b/>
          <w:bCs/>
          <w:color w:val="000000"/>
          <w:sz w:val="20"/>
          <w:szCs w:val="20"/>
          <w:lang w:val="de-LI"/>
        </w:rPr>
      </w:pPr>
      <w:r w:rsidRPr="008E52AC">
        <w:rPr>
          <w:rFonts w:ascii="Arial" w:hAnsi="Arial" w:cs="Arial"/>
          <w:b/>
          <w:bCs/>
          <w:color w:val="000000"/>
          <w:sz w:val="20"/>
          <w:szCs w:val="20"/>
          <w:lang w:val="de-LI"/>
        </w:rPr>
        <w:t>Qualification of agency relationships</w:t>
      </w:r>
    </w:p>
    <w:p w14:paraId="46A3C2EB"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 xml:space="preserve">In contrast to European vertical guidelines, neither the E-VertBek nor the E-VertBek explanatory notes contain any information on the legal qualification of agency or commercial agent relationships </w:t>
      </w:r>
      <w:proofErr w:type="gramStart"/>
      <w:r w:rsidRPr="00833DA1">
        <w:rPr>
          <w:rFonts w:ascii="Arial" w:hAnsi="Arial" w:cs="Arial"/>
          <w:color w:val="000000"/>
          <w:sz w:val="20"/>
          <w:szCs w:val="20"/>
          <w:lang w:val="en-US"/>
        </w:rPr>
        <w:t xml:space="preserve">in the </w:t>
      </w:r>
      <w:r w:rsidRPr="00833DA1">
        <w:rPr>
          <w:rFonts w:ascii="Arial" w:hAnsi="Arial" w:cs="Arial"/>
          <w:color w:val="000000"/>
          <w:sz w:val="20"/>
          <w:szCs w:val="20"/>
          <w:lang w:val="en-US"/>
        </w:rPr>
        <w:lastRenderedPageBreak/>
        <w:t>area of</w:t>
      </w:r>
      <w:proofErr w:type="gramEnd"/>
      <w:r w:rsidRPr="00833DA1">
        <w:rPr>
          <w:rFonts w:ascii="Arial" w:hAnsi="Arial" w:cs="Arial"/>
          <w:color w:val="000000"/>
          <w:sz w:val="20"/>
          <w:szCs w:val="20"/>
          <w:lang w:val="en-US"/>
        </w:rPr>
        <w:t xml:space="preserve"> vertical agreements or distribution systems. In order to increase legal certainty in this respect, SwissHoldings would support if the Competition Commission were to include guidelines in this regard in the E-VertBek explanatory notes based on the current vertical guidelines</w:t>
      </w:r>
      <w:proofErr w:type="gramStart"/>
      <w:r w:rsidRPr="00833DA1">
        <w:rPr>
          <w:rFonts w:ascii="Arial" w:hAnsi="Arial" w:cs="Arial"/>
          <w:color w:val="000000"/>
          <w:sz w:val="20"/>
          <w:szCs w:val="20"/>
          <w:lang w:val="en-US"/>
        </w:rPr>
        <w:t>. .</w:t>
      </w:r>
      <w:bookmarkStart w:id="8" w:name="OpenAt"/>
      <w:bookmarkEnd w:id="8"/>
      <w:proofErr w:type="gramEnd"/>
    </w:p>
    <w:p w14:paraId="13799208" w14:textId="77777777" w:rsidR="00841ACE" w:rsidRPr="00833DA1" w:rsidRDefault="00841ACE" w:rsidP="008E52AC">
      <w:pPr>
        <w:spacing w:after="120" w:line="280" w:lineRule="atLeast"/>
        <w:jc w:val="both"/>
        <w:rPr>
          <w:rFonts w:ascii="Arial" w:hAnsi="Arial" w:cs="Arial"/>
          <w:color w:val="000000"/>
          <w:sz w:val="20"/>
          <w:szCs w:val="20"/>
          <w:lang w:val="en-US"/>
        </w:rPr>
      </w:pPr>
    </w:p>
    <w:p w14:paraId="39E3FC85" w14:textId="77777777" w:rsidR="00815C6A" w:rsidRPr="00833DA1" w:rsidRDefault="00000000">
      <w:pPr>
        <w:spacing w:after="120" w:line="280" w:lineRule="atLeast"/>
        <w:jc w:val="both"/>
        <w:rPr>
          <w:rFonts w:ascii="Arial" w:hAnsi="Arial" w:cs="Arial"/>
          <w:color w:val="000000"/>
          <w:sz w:val="20"/>
          <w:szCs w:val="20"/>
          <w:lang w:val="en-US"/>
        </w:rPr>
      </w:pPr>
      <w:r w:rsidRPr="00833DA1">
        <w:rPr>
          <w:rFonts w:ascii="Arial" w:hAnsi="Arial" w:cs="Arial"/>
          <w:color w:val="000000"/>
          <w:sz w:val="20"/>
          <w:szCs w:val="20"/>
          <w:lang w:val="en-US"/>
        </w:rPr>
        <w:t xml:space="preserve">We thank you for the opportunity to comment and for </w:t>
      </w:r>
      <w:r w:rsidR="001C4AAD" w:rsidRPr="00833DA1">
        <w:rPr>
          <w:rFonts w:ascii="Arial" w:hAnsi="Arial" w:cs="Arial"/>
          <w:color w:val="000000"/>
          <w:sz w:val="20"/>
          <w:szCs w:val="20"/>
          <w:lang w:val="en-US"/>
        </w:rPr>
        <w:t xml:space="preserve">considering </w:t>
      </w:r>
      <w:r w:rsidRPr="00833DA1">
        <w:rPr>
          <w:rFonts w:ascii="Arial" w:hAnsi="Arial" w:cs="Arial"/>
          <w:color w:val="000000"/>
          <w:sz w:val="20"/>
          <w:szCs w:val="20"/>
          <w:lang w:val="en-US"/>
        </w:rPr>
        <w:t xml:space="preserve">our position. We are at your disposal for any explanations </w:t>
      </w:r>
      <w:r w:rsidR="001C4AAD" w:rsidRPr="00833DA1">
        <w:rPr>
          <w:rFonts w:ascii="Arial" w:hAnsi="Arial" w:cs="Arial"/>
          <w:color w:val="000000"/>
          <w:sz w:val="20"/>
          <w:szCs w:val="20"/>
          <w:lang w:val="en-US"/>
        </w:rPr>
        <w:t xml:space="preserve">or information </w:t>
      </w:r>
      <w:r w:rsidRPr="00833DA1">
        <w:rPr>
          <w:rFonts w:ascii="Arial" w:hAnsi="Arial" w:cs="Arial"/>
          <w:color w:val="000000"/>
          <w:sz w:val="20"/>
          <w:szCs w:val="20"/>
          <w:lang w:val="en-US"/>
        </w:rPr>
        <w:t>on our comments.</w:t>
      </w:r>
    </w:p>
    <w:p w14:paraId="7A5B5C52" w14:textId="77777777" w:rsidR="00841ACE" w:rsidRPr="00833DA1" w:rsidRDefault="00841ACE" w:rsidP="008E52AC">
      <w:pPr>
        <w:pStyle w:val="Helvetica"/>
        <w:tabs>
          <w:tab w:val="clear" w:pos="312"/>
          <w:tab w:val="clear" w:pos="624"/>
          <w:tab w:val="left" w:pos="-5670"/>
          <w:tab w:val="left" w:pos="142"/>
        </w:tabs>
        <w:spacing w:line="280" w:lineRule="atLeast"/>
        <w:rPr>
          <w:rFonts w:ascii="Arial" w:hAnsi="Arial" w:cs="Arial"/>
          <w:b w:val="0"/>
          <w:color w:val="000000"/>
          <w:spacing w:val="0"/>
          <w:sz w:val="20"/>
          <w:szCs w:val="20"/>
          <w:lang w:val="en-US"/>
        </w:rPr>
      </w:pPr>
    </w:p>
    <w:p w14:paraId="1DF1A61C" w14:textId="77777777" w:rsidR="00841ACE" w:rsidRPr="00833DA1" w:rsidRDefault="00841ACE" w:rsidP="008E52AC">
      <w:pPr>
        <w:pStyle w:val="Helvetica"/>
        <w:tabs>
          <w:tab w:val="clear" w:pos="312"/>
          <w:tab w:val="clear" w:pos="624"/>
          <w:tab w:val="left" w:pos="-5670"/>
          <w:tab w:val="left" w:pos="142"/>
        </w:tabs>
        <w:spacing w:line="280" w:lineRule="atLeast"/>
        <w:rPr>
          <w:rFonts w:ascii="Arial" w:hAnsi="Arial" w:cs="Arial"/>
          <w:b w:val="0"/>
          <w:color w:val="000000"/>
          <w:spacing w:val="0"/>
          <w:sz w:val="20"/>
          <w:szCs w:val="20"/>
          <w:lang w:val="en-US"/>
        </w:rPr>
      </w:pPr>
    </w:p>
    <w:p w14:paraId="5A7E3E70" w14:textId="77777777" w:rsidR="00815C6A" w:rsidRPr="00833DA1" w:rsidRDefault="00000000">
      <w:pPr>
        <w:widowControl w:val="0"/>
        <w:tabs>
          <w:tab w:val="left" w:pos="142"/>
          <w:tab w:val="left" w:pos="312"/>
          <w:tab w:val="left" w:pos="624"/>
        </w:tabs>
        <w:autoSpaceDE w:val="0"/>
        <w:autoSpaceDN w:val="0"/>
        <w:adjustRightInd w:val="0"/>
        <w:spacing w:line="280" w:lineRule="atLeast"/>
        <w:rPr>
          <w:rFonts w:ascii="Arial" w:hAnsi="Arial" w:cs="Arial"/>
          <w:bCs/>
          <w:color w:val="000000"/>
          <w:sz w:val="20"/>
          <w:szCs w:val="20"/>
          <w:lang w:val="en-US" w:eastAsia="de-DE"/>
        </w:rPr>
      </w:pPr>
      <w:r w:rsidRPr="00833DA1">
        <w:rPr>
          <w:rFonts w:ascii="Arial" w:hAnsi="Arial" w:cs="Arial"/>
          <w:bCs/>
          <w:color w:val="000000"/>
          <w:sz w:val="20"/>
          <w:szCs w:val="20"/>
          <w:lang w:val="en-US" w:eastAsia="de-DE"/>
        </w:rPr>
        <w:t>Kind regards</w:t>
      </w:r>
    </w:p>
    <w:p w14:paraId="382E265B" w14:textId="77777777" w:rsidR="00B22A01" w:rsidRPr="00833DA1" w:rsidRDefault="00B22A01" w:rsidP="00B22A01">
      <w:pPr>
        <w:widowControl w:val="0"/>
        <w:tabs>
          <w:tab w:val="left" w:pos="-5670"/>
          <w:tab w:val="left" w:pos="142"/>
          <w:tab w:val="left" w:pos="312"/>
          <w:tab w:val="left" w:pos="624"/>
        </w:tabs>
        <w:autoSpaceDE w:val="0"/>
        <w:autoSpaceDN w:val="0"/>
        <w:adjustRightInd w:val="0"/>
        <w:spacing w:line="280" w:lineRule="atLeast"/>
        <w:rPr>
          <w:rFonts w:ascii="Arial" w:hAnsi="Arial" w:cs="Arial"/>
          <w:bCs/>
          <w:color w:val="000000"/>
          <w:sz w:val="20"/>
          <w:szCs w:val="20"/>
          <w:lang w:val="en-US" w:eastAsia="de-DE"/>
        </w:rPr>
      </w:pPr>
    </w:p>
    <w:p w14:paraId="5D823877" w14:textId="77777777" w:rsidR="00B22A01" w:rsidRPr="00833DA1" w:rsidRDefault="00B22A01" w:rsidP="00B22A01">
      <w:pPr>
        <w:widowControl w:val="0"/>
        <w:tabs>
          <w:tab w:val="left" w:pos="-5670"/>
          <w:tab w:val="left" w:pos="142"/>
          <w:tab w:val="left" w:pos="312"/>
          <w:tab w:val="left" w:pos="624"/>
        </w:tabs>
        <w:autoSpaceDE w:val="0"/>
        <w:autoSpaceDN w:val="0"/>
        <w:adjustRightInd w:val="0"/>
        <w:spacing w:line="280" w:lineRule="atLeast"/>
        <w:rPr>
          <w:rFonts w:ascii="Arial" w:hAnsi="Arial" w:cs="Arial"/>
          <w:bCs/>
          <w:color w:val="000000"/>
          <w:sz w:val="20"/>
          <w:szCs w:val="20"/>
          <w:lang w:val="en-US" w:eastAsia="de-DE"/>
        </w:rPr>
      </w:pPr>
    </w:p>
    <w:p w14:paraId="67BD0B0A" w14:textId="77777777" w:rsidR="00815C6A" w:rsidRPr="00833DA1" w:rsidRDefault="00000000">
      <w:pPr>
        <w:tabs>
          <w:tab w:val="left" w:pos="900"/>
          <w:tab w:val="left" w:pos="6300"/>
        </w:tabs>
        <w:spacing w:line="280" w:lineRule="atLeast"/>
        <w:rPr>
          <w:rFonts w:ascii="Arial" w:hAnsi="Arial" w:cs="Arial"/>
          <w:b/>
          <w:sz w:val="20"/>
          <w:szCs w:val="20"/>
          <w:lang w:val="en-US"/>
        </w:rPr>
      </w:pPr>
      <w:r w:rsidRPr="00833DA1">
        <w:rPr>
          <w:rFonts w:ascii="Arial" w:hAnsi="Arial" w:cs="Arial"/>
          <w:b/>
          <w:sz w:val="20"/>
          <w:szCs w:val="20"/>
          <w:lang w:val="en-US"/>
        </w:rPr>
        <w:t>SwissHoldings</w:t>
      </w:r>
    </w:p>
    <w:p w14:paraId="5A5D685B" w14:textId="77777777" w:rsidR="00815C6A" w:rsidRPr="00833DA1" w:rsidRDefault="00000000">
      <w:pPr>
        <w:tabs>
          <w:tab w:val="left" w:pos="900"/>
          <w:tab w:val="left" w:pos="6300"/>
        </w:tabs>
        <w:spacing w:line="280" w:lineRule="atLeast"/>
        <w:rPr>
          <w:rFonts w:ascii="Arial" w:hAnsi="Arial" w:cs="Arial"/>
          <w:sz w:val="20"/>
          <w:szCs w:val="20"/>
          <w:lang w:val="en-US"/>
        </w:rPr>
      </w:pPr>
      <w:r w:rsidRPr="00833DA1">
        <w:rPr>
          <w:rFonts w:ascii="Arial" w:hAnsi="Arial" w:cs="Arial"/>
          <w:sz w:val="20"/>
          <w:szCs w:val="20"/>
          <w:lang w:val="en-US"/>
        </w:rPr>
        <w:t>Office</w:t>
      </w:r>
    </w:p>
    <w:p w14:paraId="4C795036" w14:textId="77777777" w:rsidR="00B22A01" w:rsidRPr="00833DA1" w:rsidRDefault="00B22A01" w:rsidP="00B22A01">
      <w:pPr>
        <w:tabs>
          <w:tab w:val="left" w:pos="4820"/>
        </w:tabs>
        <w:spacing w:line="280" w:lineRule="atLeast"/>
        <w:rPr>
          <w:rFonts w:ascii="Arial" w:hAnsi="Arial" w:cs="Arial"/>
          <w:sz w:val="20"/>
          <w:szCs w:val="20"/>
          <w:lang w:val="en-US"/>
        </w:rPr>
      </w:pPr>
    </w:p>
    <w:p w14:paraId="650709B2" w14:textId="77777777" w:rsidR="00407BB9" w:rsidRPr="00833DA1" w:rsidRDefault="00407BB9" w:rsidP="00B22A01">
      <w:pPr>
        <w:tabs>
          <w:tab w:val="left" w:pos="4820"/>
        </w:tabs>
        <w:spacing w:line="280" w:lineRule="atLeast"/>
        <w:rPr>
          <w:rFonts w:ascii="Arial" w:eastAsia="Times New Roman" w:hAnsi="Arial" w:cs="Arial"/>
          <w:noProof/>
          <w:sz w:val="20"/>
          <w:szCs w:val="20"/>
          <w:lang w:val="en-US" w:eastAsia="de-CH" w:bidi="as-IN"/>
        </w:rPr>
      </w:pPr>
    </w:p>
    <w:p w14:paraId="5A0BE8F3" w14:textId="77777777" w:rsidR="00B22A01" w:rsidRPr="00833DA1" w:rsidRDefault="00B22A01" w:rsidP="00B22A01">
      <w:pPr>
        <w:tabs>
          <w:tab w:val="left" w:pos="4820"/>
        </w:tabs>
        <w:spacing w:line="280" w:lineRule="atLeast"/>
        <w:rPr>
          <w:rFonts w:ascii="Arial" w:hAnsi="Arial" w:cs="Arial"/>
          <w:sz w:val="20"/>
          <w:szCs w:val="20"/>
          <w:lang w:val="en-US"/>
        </w:rPr>
      </w:pPr>
    </w:p>
    <w:p w14:paraId="15F492B7" w14:textId="77777777" w:rsidR="00B22A01" w:rsidRPr="00833DA1" w:rsidRDefault="00B22A01" w:rsidP="00B22A01">
      <w:pPr>
        <w:tabs>
          <w:tab w:val="left" w:pos="4820"/>
        </w:tabs>
        <w:spacing w:line="280" w:lineRule="atLeast"/>
        <w:rPr>
          <w:rFonts w:ascii="Arial" w:hAnsi="Arial" w:cs="Arial"/>
          <w:sz w:val="20"/>
          <w:szCs w:val="20"/>
          <w:lang w:val="en-US"/>
        </w:rPr>
      </w:pPr>
    </w:p>
    <w:p w14:paraId="62AD2130" w14:textId="77777777" w:rsidR="00815C6A" w:rsidRPr="00833DA1" w:rsidRDefault="00000000">
      <w:pPr>
        <w:tabs>
          <w:tab w:val="left" w:pos="4820"/>
        </w:tabs>
        <w:spacing w:line="280" w:lineRule="atLeast"/>
        <w:rPr>
          <w:rFonts w:ascii="Arial" w:hAnsi="Arial" w:cs="Arial"/>
          <w:sz w:val="20"/>
          <w:szCs w:val="20"/>
          <w:lang w:val="en-US"/>
        </w:rPr>
      </w:pPr>
      <w:r w:rsidRPr="00833DA1">
        <w:rPr>
          <w:rFonts w:ascii="Arial" w:hAnsi="Arial" w:cs="Arial"/>
          <w:sz w:val="20"/>
          <w:szCs w:val="20"/>
          <w:lang w:val="en-US"/>
        </w:rPr>
        <w:t xml:space="preserve">Dr. Gabriel RumoClaudiu </w:t>
      </w:r>
      <w:r w:rsidRPr="00833DA1">
        <w:rPr>
          <w:rFonts w:ascii="Arial" w:hAnsi="Arial" w:cs="Arial"/>
          <w:sz w:val="20"/>
          <w:szCs w:val="20"/>
          <w:lang w:val="en-US"/>
        </w:rPr>
        <w:tab/>
        <w:t>A. Antal</w:t>
      </w:r>
    </w:p>
    <w:p w14:paraId="26DF1CCF" w14:textId="77777777" w:rsidR="00815C6A" w:rsidRDefault="00000000">
      <w:pPr>
        <w:tabs>
          <w:tab w:val="left" w:pos="4820"/>
        </w:tabs>
        <w:spacing w:line="280" w:lineRule="atLeast"/>
        <w:ind w:left="4820" w:hanging="4820"/>
        <w:rPr>
          <w:rFonts w:ascii="Arial" w:hAnsi="Arial" w:cs="Arial"/>
          <w:sz w:val="20"/>
          <w:szCs w:val="20"/>
          <w:lang w:val="de-LI"/>
        </w:rPr>
      </w:pPr>
      <w:r w:rsidRPr="008E52AC">
        <w:rPr>
          <w:rFonts w:ascii="Arial" w:hAnsi="Arial" w:cs="Arial"/>
          <w:sz w:val="20"/>
          <w:szCs w:val="20"/>
          <w:lang w:val="de-LI"/>
        </w:rPr>
        <w:t xml:space="preserve">DirectorPolicy </w:t>
      </w:r>
      <w:r w:rsidRPr="008E52AC">
        <w:rPr>
          <w:rFonts w:ascii="Arial" w:hAnsi="Arial" w:cs="Arial"/>
          <w:sz w:val="20"/>
          <w:szCs w:val="20"/>
          <w:lang w:val="de-LI"/>
        </w:rPr>
        <w:tab/>
        <w:t>Manager</w:t>
      </w:r>
    </w:p>
    <w:p w14:paraId="5860FA07" w14:textId="77777777" w:rsidR="00B22A01" w:rsidRPr="008E52AC" w:rsidRDefault="00B22A01" w:rsidP="00B22A01">
      <w:pPr>
        <w:spacing w:after="120" w:line="280" w:lineRule="atLeast"/>
        <w:jc w:val="both"/>
        <w:rPr>
          <w:rFonts w:ascii="Arial" w:hAnsi="Arial" w:cs="Arial"/>
          <w:sz w:val="20"/>
          <w:szCs w:val="20"/>
          <w:lang w:val="de-LI"/>
        </w:rPr>
      </w:pPr>
    </w:p>
    <w:p w14:paraId="1B64CDAA" w14:textId="77777777" w:rsidR="00EA5F4E" w:rsidRPr="008E52AC" w:rsidRDefault="00EA5F4E" w:rsidP="008E52AC">
      <w:pPr>
        <w:spacing w:after="120" w:line="280" w:lineRule="atLeast"/>
        <w:jc w:val="both"/>
        <w:rPr>
          <w:rFonts w:ascii="Arial" w:hAnsi="Arial" w:cs="Arial"/>
          <w:sz w:val="20"/>
          <w:szCs w:val="20"/>
          <w:lang w:val="de-LI"/>
        </w:rPr>
      </w:pPr>
    </w:p>
    <w:sectPr w:rsidR="00EA5F4E" w:rsidRPr="008E52AC" w:rsidSect="00402275">
      <w:headerReference w:type="default" r:id="rId9"/>
      <w:footerReference w:type="default" r:id="rId10"/>
      <w:headerReference w:type="first" r:id="rId11"/>
      <w:footerReference w:type="first" r:id="rId12"/>
      <w:pgSz w:w="11900" w:h="16840"/>
      <w:pgMar w:top="2127" w:right="1268" w:bottom="851" w:left="1701" w:header="113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BFCF" w14:textId="77777777" w:rsidR="00867D78" w:rsidRDefault="00867D78">
      <w:r>
        <w:separator/>
      </w:r>
    </w:p>
    <w:p w14:paraId="71A925A3" w14:textId="77777777" w:rsidR="00867D78" w:rsidRDefault="00867D78"/>
  </w:endnote>
  <w:endnote w:type="continuationSeparator" w:id="0">
    <w:p w14:paraId="3EB2043D" w14:textId="77777777" w:rsidR="00867D78" w:rsidRDefault="00867D78">
      <w:r>
        <w:continuationSeparator/>
      </w:r>
    </w:p>
    <w:p w14:paraId="4E5978D1" w14:textId="77777777" w:rsidR="00867D78" w:rsidRDefault="00867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DIN-Bold">
    <w:altName w:val="Calibri"/>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1BD6" w14:textId="77777777" w:rsidR="00815C6A" w:rsidRDefault="00000000">
    <w:pPr>
      <w:pStyle w:val="Fuzeile"/>
      <w:ind w:left="-851"/>
      <w:jc w:val="right"/>
      <w:rPr>
        <w:rFonts w:ascii="Arial" w:hAnsi="Arial" w:cs="Arial"/>
        <w:sz w:val="20"/>
        <w:szCs w:val="20"/>
      </w:rPr>
    </w:pPr>
    <w:r w:rsidRPr="0022726F">
      <w:rPr>
        <w:rFonts w:ascii="Arial" w:hAnsi="Arial" w:cs="Arial"/>
        <w:sz w:val="20"/>
        <w:szCs w:val="20"/>
      </w:rPr>
      <w:fldChar w:fldCharType="begin"/>
    </w:r>
    <w:r w:rsidRPr="0022726F">
      <w:rPr>
        <w:rFonts w:ascii="Arial" w:hAnsi="Arial" w:cs="Arial"/>
        <w:sz w:val="20"/>
        <w:szCs w:val="20"/>
      </w:rPr>
      <w:instrText>PAGE  \* Arabic  \* MERGEFORMAT</w:instrText>
    </w:r>
    <w:r w:rsidRPr="0022726F">
      <w:rPr>
        <w:rFonts w:ascii="Arial" w:hAnsi="Arial" w:cs="Arial"/>
        <w:sz w:val="20"/>
        <w:szCs w:val="20"/>
      </w:rPr>
      <w:fldChar w:fldCharType="separate"/>
    </w:r>
    <w:r>
      <w:rPr>
        <w:rFonts w:ascii="Arial" w:hAnsi="Arial" w:cs="Arial"/>
        <w:sz w:val="20"/>
        <w:szCs w:val="20"/>
      </w:rPr>
      <w:t>2</w:t>
    </w:r>
    <w:r w:rsidRPr="0022726F">
      <w:rPr>
        <w:rFonts w:ascii="Arial" w:hAnsi="Arial" w:cs="Arial"/>
        <w:sz w:val="20"/>
        <w:szCs w:val="20"/>
      </w:rPr>
      <w:fldChar w:fldCharType="end"/>
    </w:r>
    <w:r w:rsidRPr="0022726F">
      <w:rPr>
        <w:rFonts w:ascii="Arial" w:hAnsi="Arial" w:cs="Arial"/>
        <w:sz w:val="20"/>
        <w:szCs w:val="20"/>
        <w:lang w:val="de-DE"/>
      </w:rPr>
      <w:t xml:space="preserve"> / </w:t>
    </w:r>
    <w:r w:rsidRPr="0022726F">
      <w:rPr>
        <w:rFonts w:ascii="Arial" w:hAnsi="Arial" w:cs="Arial"/>
        <w:sz w:val="20"/>
        <w:szCs w:val="20"/>
      </w:rPr>
      <w:fldChar w:fldCharType="begin"/>
    </w:r>
    <w:r w:rsidRPr="0022726F">
      <w:rPr>
        <w:rFonts w:ascii="Arial" w:hAnsi="Arial" w:cs="Arial"/>
        <w:sz w:val="20"/>
        <w:szCs w:val="20"/>
      </w:rPr>
      <w:instrText>NUMPAGES  \* Arabic  \* MERGEFORMAT</w:instrText>
    </w:r>
    <w:r w:rsidRPr="0022726F">
      <w:rPr>
        <w:rFonts w:ascii="Arial" w:hAnsi="Arial" w:cs="Arial"/>
        <w:sz w:val="20"/>
        <w:szCs w:val="20"/>
      </w:rPr>
      <w:fldChar w:fldCharType="separate"/>
    </w:r>
    <w:r>
      <w:rPr>
        <w:rFonts w:ascii="Arial" w:hAnsi="Arial" w:cs="Arial"/>
        <w:sz w:val="20"/>
        <w:szCs w:val="20"/>
      </w:rPr>
      <w:t>3</w:t>
    </w:r>
    <w:r w:rsidRPr="0022726F">
      <w:rPr>
        <w:rFonts w:ascii="Arial" w:hAnsi="Arial" w:cs="Arial"/>
        <w:sz w:val="20"/>
        <w:szCs w:val="20"/>
      </w:rPr>
      <w:fldChar w:fldCharType="end"/>
    </w:r>
  </w:p>
  <w:p w14:paraId="280BA11B" w14:textId="77777777" w:rsidR="00C539AF" w:rsidRDefault="00C539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40C2" w14:textId="77777777" w:rsidR="00A43029" w:rsidRPr="00C4043A" w:rsidRDefault="00A43029" w:rsidP="00FF48D3">
    <w:pPr>
      <w:pStyle w:val="Fuzeile"/>
      <w:ind w:left="-851"/>
    </w:pPr>
    <w:r w:rsidRPr="00A43029">
      <w:rPr>
        <w:noProof/>
      </w:rPr>
      <w:drawing>
        <wp:inline distT="0" distB="0" distL="0" distR="0" wp14:anchorId="4856E2A1" wp14:editId="4841227D">
          <wp:extent cx="6480000" cy="594492"/>
          <wp:effectExtent l="0" t="0" r="0" b="0"/>
          <wp:docPr id="9"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15" r="677"/>
                  <a:stretch/>
                </pic:blipFill>
                <pic:spPr bwMode="auto">
                  <a:xfrm>
                    <a:off x="0" y="0"/>
                    <a:ext cx="6480000" cy="5944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3A3E" w14:textId="77777777" w:rsidR="00867D78" w:rsidRDefault="00867D78">
      <w:r>
        <w:separator/>
      </w:r>
    </w:p>
    <w:p w14:paraId="01B23E29" w14:textId="77777777" w:rsidR="00867D78" w:rsidRDefault="00867D78"/>
  </w:footnote>
  <w:footnote w:type="continuationSeparator" w:id="0">
    <w:p w14:paraId="69E1E986" w14:textId="77777777" w:rsidR="00867D78" w:rsidRDefault="00867D78">
      <w:r>
        <w:continuationSeparator/>
      </w:r>
    </w:p>
    <w:p w14:paraId="1AC89F83" w14:textId="77777777" w:rsidR="00867D78" w:rsidRDefault="00867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1FD4" w14:textId="77777777" w:rsidR="00C539AF" w:rsidRDefault="00C773BF" w:rsidP="001C4AAD">
    <w:pPr>
      <w:pStyle w:val="Kopfzeile"/>
      <w:ind w:left="-993"/>
    </w:pPr>
    <w:r w:rsidRPr="00AD5879">
      <w:rPr>
        <w:noProof/>
      </w:rPr>
      <w:drawing>
        <wp:inline distT="0" distB="0" distL="0" distR="0" wp14:anchorId="1044A0DF" wp14:editId="33DC55CB">
          <wp:extent cx="1738919" cy="444500"/>
          <wp:effectExtent l="0" t="0" r="0" b="0"/>
          <wp:docPr id="5"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1"/>
                  <pic:cNvPicPr/>
                </pic:nvPicPr>
                <pic:blipFill rotWithShape="1">
                  <a:blip r:embed="rId1">
                    <a:extLst>
                      <a:ext uri="{28A0092B-C50C-407E-A947-70E740481C1C}">
                        <a14:useLocalDpi xmlns:a14="http://schemas.microsoft.com/office/drawing/2010/main" val="0"/>
                      </a:ext>
                    </a:extLst>
                  </a:blip>
                  <a:srcRect l="-207" r="-1893"/>
                  <a:stretch/>
                </pic:blipFill>
                <pic:spPr bwMode="auto">
                  <a:xfrm>
                    <a:off x="0" y="0"/>
                    <a:ext cx="1743680" cy="44571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6A0A" w14:textId="77777777" w:rsidR="00815C6A" w:rsidRDefault="00000000">
    <w:pPr>
      <w:pStyle w:val="Kopfzeile"/>
      <w:ind w:left="-993"/>
    </w:pPr>
    <w:r>
      <w:rPr>
        <w:noProof/>
      </w:rPr>
      <w:drawing>
        <wp:anchor distT="0" distB="0" distL="114300" distR="114300" simplePos="0" relativeHeight="251657216" behindDoc="0" locked="0" layoutInCell="1" allowOverlap="1" wp14:anchorId="26D40ADD" wp14:editId="2FB18A04">
          <wp:simplePos x="0" y="0"/>
          <wp:positionH relativeFrom="column">
            <wp:posOffset>4842629</wp:posOffset>
          </wp:positionH>
          <wp:positionV relativeFrom="paragraph">
            <wp:posOffset>-61595</wp:posOffset>
          </wp:positionV>
          <wp:extent cx="857250" cy="857250"/>
          <wp:effectExtent l="0" t="0" r="0" b="0"/>
          <wp:wrapNone/>
          <wp:docPr id="6"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fik 67"/>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2D3133">
      <w:rPr>
        <w:noProof/>
      </w:rPr>
      <w:drawing>
        <wp:inline distT="0" distB="0" distL="0" distR="0" wp14:anchorId="49088B1A" wp14:editId="67CD4181">
          <wp:extent cx="3672000" cy="796875"/>
          <wp:effectExtent l="0" t="0" r="0" b="3810"/>
          <wp:docPr id="8"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bwMode="auto">
                  <a:xfrm>
                    <a:off x="0" y="0"/>
                    <a:ext cx="3672000" cy="796875"/>
                  </a:xfrm>
                  <a:prstGeom prst="rect">
                    <a:avLst/>
                  </a:prstGeom>
                  <a:ln>
                    <a:noFill/>
                  </a:ln>
                  <a:extLst>
                    <a:ext uri="{53640926-AAD7-44D8-BBD7-CCE9431645EC}">
                      <a14:shadowObscured xmlns:a14="http://schemas.microsoft.com/office/drawing/2010/main"/>
                    </a:ext>
                  </a:extLst>
                </pic:spPr>
              </pic:pic>
            </a:graphicData>
          </a:graphic>
        </wp:inline>
      </w:drawing>
    </w:r>
  </w:p>
  <w:p w14:paraId="2BA0C392" w14:textId="77777777" w:rsidR="00AD5879" w:rsidRPr="00C773BF" w:rsidRDefault="00AD5879" w:rsidP="00C773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6A8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38C7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58CA0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8E46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6C44C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6E85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C852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DC8A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CC15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280D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4C65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BD57E2"/>
    <w:multiLevelType w:val="hybridMultilevel"/>
    <w:tmpl w:val="80CC9D14"/>
    <w:lvl w:ilvl="0" w:tplc="0A06C9CC">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B86AE8"/>
    <w:multiLevelType w:val="hybridMultilevel"/>
    <w:tmpl w:val="B13A84B4"/>
    <w:lvl w:ilvl="0" w:tplc="3C560448">
      <w:start w:val="1"/>
      <w:numFmt w:val="decimal"/>
      <w:lvlText w:val="%1."/>
      <w:lvlJc w:val="left"/>
      <w:pPr>
        <w:ind w:left="714" w:hanging="36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3" w15:restartNumberingAfterBreak="0">
    <w:nsid w:val="1F1D4445"/>
    <w:multiLevelType w:val="hybridMultilevel"/>
    <w:tmpl w:val="DC345340"/>
    <w:lvl w:ilvl="0" w:tplc="09DC8B34">
      <w:start w:val="6"/>
      <w:numFmt w:val="bullet"/>
      <w:lvlText w:val="-"/>
      <w:lvlJc w:val="left"/>
      <w:pPr>
        <w:ind w:left="1080" w:hanging="360"/>
      </w:pPr>
      <w:rPr>
        <w:rFonts w:ascii="Arial" w:eastAsia="Cambria"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1FB355D7"/>
    <w:multiLevelType w:val="hybridMultilevel"/>
    <w:tmpl w:val="88268DB2"/>
    <w:lvl w:ilvl="0" w:tplc="4718F97A">
      <w:numFmt w:val="bullet"/>
      <w:lvlText w:val="-"/>
      <w:lvlJc w:val="left"/>
      <w:pPr>
        <w:ind w:left="720" w:hanging="360"/>
      </w:pPr>
      <w:rPr>
        <w:rFonts w:ascii="Verdana" w:eastAsia="Calibri"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20017312"/>
    <w:multiLevelType w:val="hybridMultilevel"/>
    <w:tmpl w:val="73D2B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827410"/>
    <w:multiLevelType w:val="multilevel"/>
    <w:tmpl w:val="EA52D952"/>
    <w:lvl w:ilvl="0">
      <w:start w:val="1"/>
      <w:numFmt w:val="decimal"/>
      <w:lvlText w:val="%1."/>
      <w:lvlJc w:val="left"/>
      <w:pPr>
        <w:ind w:left="390" w:hanging="390"/>
      </w:pPr>
      <w:rPr>
        <w:rFonts w:hint="default"/>
        <w:u w:val="singl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375D3484"/>
    <w:multiLevelType w:val="hybridMultilevel"/>
    <w:tmpl w:val="FF867C22"/>
    <w:lvl w:ilvl="0" w:tplc="76A0612A">
      <w:start w:val="6"/>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CC40CE"/>
    <w:multiLevelType w:val="hybridMultilevel"/>
    <w:tmpl w:val="65CE15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BD7C65"/>
    <w:multiLevelType w:val="hybridMultilevel"/>
    <w:tmpl w:val="E9B09108"/>
    <w:lvl w:ilvl="0" w:tplc="FFFFFFFF">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C742B10"/>
    <w:multiLevelType w:val="hybridMultilevel"/>
    <w:tmpl w:val="73D2B720"/>
    <w:lvl w:ilvl="0" w:tplc="04070001">
      <w:start w:val="1"/>
      <w:numFmt w:val="bullet"/>
      <w:lvlText w:val="–"/>
      <w:lvlJc w:val="left"/>
      <w:pPr>
        <w:ind w:left="720" w:hanging="360"/>
      </w:pPr>
      <w:rPr>
        <w:rFonts w:ascii="Helvetica"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A7475E"/>
    <w:multiLevelType w:val="hybridMultilevel"/>
    <w:tmpl w:val="8E48EC18"/>
    <w:lvl w:ilvl="0" w:tplc="CE320CF6">
      <w:start w:val="28"/>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E406AB1"/>
    <w:multiLevelType w:val="hybridMultilevel"/>
    <w:tmpl w:val="C3A8A1E2"/>
    <w:lvl w:ilvl="0" w:tplc="08070001">
      <w:start w:val="1"/>
      <w:numFmt w:val="bullet"/>
      <w:lvlText w:val=""/>
      <w:lvlJc w:val="left"/>
      <w:pPr>
        <w:ind w:left="1080" w:hanging="360"/>
      </w:pPr>
      <w:rPr>
        <w:rFonts w:ascii="Symbol" w:hAnsi="Symbol" w:hint="default"/>
      </w:rPr>
    </w:lvl>
    <w:lvl w:ilvl="1" w:tplc="0807000F">
      <w:start w:val="1"/>
      <w:numFmt w:val="decimal"/>
      <w:lvlText w:val="%2."/>
      <w:lvlJc w:val="left"/>
      <w:pPr>
        <w:ind w:left="1800" w:hanging="360"/>
      </w:pPr>
      <w:rPr>
        <w:rFont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3" w15:restartNumberingAfterBreak="0">
    <w:nsid w:val="741E68BD"/>
    <w:multiLevelType w:val="hybridMultilevel"/>
    <w:tmpl w:val="8EF010AA"/>
    <w:lvl w:ilvl="0" w:tplc="D59093F4">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778A4942"/>
    <w:multiLevelType w:val="hybridMultilevel"/>
    <w:tmpl w:val="B2EA3C56"/>
    <w:lvl w:ilvl="0" w:tplc="8048AA32">
      <w:numFmt w:val="bullet"/>
      <w:lvlText w:val="-"/>
      <w:lvlJc w:val="left"/>
      <w:pPr>
        <w:ind w:left="720" w:hanging="360"/>
      </w:pPr>
      <w:rPr>
        <w:rFonts w:ascii="Cambria" w:eastAsia="Cambria" w:hAnsi="Cambri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463811197">
    <w:abstractNumId w:val="20"/>
  </w:num>
  <w:num w:numId="2" w16cid:durableId="829254853">
    <w:abstractNumId w:val="15"/>
  </w:num>
  <w:num w:numId="3" w16cid:durableId="1134909958">
    <w:abstractNumId w:val="10"/>
  </w:num>
  <w:num w:numId="4" w16cid:durableId="200702956">
    <w:abstractNumId w:val="8"/>
  </w:num>
  <w:num w:numId="5" w16cid:durableId="1979532457">
    <w:abstractNumId w:val="7"/>
  </w:num>
  <w:num w:numId="6" w16cid:durableId="659499984">
    <w:abstractNumId w:val="6"/>
  </w:num>
  <w:num w:numId="7" w16cid:durableId="1208448931">
    <w:abstractNumId w:val="5"/>
  </w:num>
  <w:num w:numId="8" w16cid:durableId="742530826">
    <w:abstractNumId w:val="9"/>
  </w:num>
  <w:num w:numId="9" w16cid:durableId="7608666">
    <w:abstractNumId w:val="4"/>
  </w:num>
  <w:num w:numId="10" w16cid:durableId="227300339">
    <w:abstractNumId w:val="3"/>
  </w:num>
  <w:num w:numId="11" w16cid:durableId="1225338270">
    <w:abstractNumId w:val="2"/>
  </w:num>
  <w:num w:numId="12" w16cid:durableId="621351761">
    <w:abstractNumId w:val="1"/>
  </w:num>
  <w:num w:numId="13" w16cid:durableId="48117872">
    <w:abstractNumId w:val="0"/>
  </w:num>
  <w:num w:numId="14" w16cid:durableId="1161001637">
    <w:abstractNumId w:val="17"/>
  </w:num>
  <w:num w:numId="15" w16cid:durableId="1355771078">
    <w:abstractNumId w:val="13"/>
  </w:num>
  <w:num w:numId="16" w16cid:durableId="1480073525">
    <w:abstractNumId w:val="21"/>
  </w:num>
  <w:num w:numId="17" w16cid:durableId="1273366268">
    <w:abstractNumId w:val="15"/>
  </w:num>
  <w:num w:numId="18" w16cid:durableId="1757708104">
    <w:abstractNumId w:val="16"/>
  </w:num>
  <w:num w:numId="19" w16cid:durableId="340351165">
    <w:abstractNumId w:val="18"/>
  </w:num>
  <w:num w:numId="20" w16cid:durableId="440606986">
    <w:abstractNumId w:val="22"/>
  </w:num>
  <w:num w:numId="21" w16cid:durableId="350886865">
    <w:abstractNumId w:val="18"/>
  </w:num>
  <w:num w:numId="22" w16cid:durableId="741872017">
    <w:abstractNumId w:val="24"/>
  </w:num>
  <w:num w:numId="23" w16cid:durableId="1153833577">
    <w:abstractNumId w:val="11"/>
  </w:num>
  <w:num w:numId="24" w16cid:durableId="435250828">
    <w:abstractNumId w:val="23"/>
  </w:num>
  <w:num w:numId="25" w16cid:durableId="1960061125">
    <w:abstractNumId w:val="19"/>
  </w:num>
  <w:num w:numId="26" w16cid:durableId="462388437">
    <w:abstractNumId w:val="23"/>
  </w:num>
  <w:num w:numId="27" w16cid:durableId="369843769">
    <w:abstractNumId w:val="14"/>
  </w:num>
  <w:num w:numId="28" w16cid:durableId="7727460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grammar="clean"/>
  <w:defaultTabStop w:val="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DB"/>
    <w:rsid w:val="00021925"/>
    <w:rsid w:val="0002757F"/>
    <w:rsid w:val="000426DB"/>
    <w:rsid w:val="000474D5"/>
    <w:rsid w:val="00062C34"/>
    <w:rsid w:val="00084899"/>
    <w:rsid w:val="000852BD"/>
    <w:rsid w:val="000964F2"/>
    <w:rsid w:val="000A1FB7"/>
    <w:rsid w:val="000A440E"/>
    <w:rsid w:val="000A5ABB"/>
    <w:rsid w:val="000C0C4D"/>
    <w:rsid w:val="000C71B2"/>
    <w:rsid w:val="000D0842"/>
    <w:rsid w:val="000E4E58"/>
    <w:rsid w:val="000E514C"/>
    <w:rsid w:val="00100081"/>
    <w:rsid w:val="00102893"/>
    <w:rsid w:val="00126C4B"/>
    <w:rsid w:val="00142823"/>
    <w:rsid w:val="001671D6"/>
    <w:rsid w:val="0017185E"/>
    <w:rsid w:val="00174037"/>
    <w:rsid w:val="00181079"/>
    <w:rsid w:val="001818B8"/>
    <w:rsid w:val="00181C78"/>
    <w:rsid w:val="00185131"/>
    <w:rsid w:val="00197544"/>
    <w:rsid w:val="001A51B4"/>
    <w:rsid w:val="001B4199"/>
    <w:rsid w:val="001B4A89"/>
    <w:rsid w:val="001C33CA"/>
    <w:rsid w:val="001C4AAD"/>
    <w:rsid w:val="001C5226"/>
    <w:rsid w:val="001D14FF"/>
    <w:rsid w:val="001D1DE1"/>
    <w:rsid w:val="001D7359"/>
    <w:rsid w:val="002044DD"/>
    <w:rsid w:val="00206AA1"/>
    <w:rsid w:val="0021291F"/>
    <w:rsid w:val="00214E1B"/>
    <w:rsid w:val="00216A8C"/>
    <w:rsid w:val="002216C7"/>
    <w:rsid w:val="00225736"/>
    <w:rsid w:val="002424CA"/>
    <w:rsid w:val="002579CE"/>
    <w:rsid w:val="00275BDA"/>
    <w:rsid w:val="00287153"/>
    <w:rsid w:val="00290D1F"/>
    <w:rsid w:val="002B6C6F"/>
    <w:rsid w:val="002C364A"/>
    <w:rsid w:val="002C38E4"/>
    <w:rsid w:val="002C67A6"/>
    <w:rsid w:val="002D14F1"/>
    <w:rsid w:val="002D4667"/>
    <w:rsid w:val="00323949"/>
    <w:rsid w:val="00330360"/>
    <w:rsid w:val="00332CD1"/>
    <w:rsid w:val="00337140"/>
    <w:rsid w:val="0035227F"/>
    <w:rsid w:val="003529D9"/>
    <w:rsid w:val="00355F5C"/>
    <w:rsid w:val="0036410F"/>
    <w:rsid w:val="003658E2"/>
    <w:rsid w:val="003718BB"/>
    <w:rsid w:val="00376F80"/>
    <w:rsid w:val="003939EA"/>
    <w:rsid w:val="00397654"/>
    <w:rsid w:val="003B4EA1"/>
    <w:rsid w:val="003B5A50"/>
    <w:rsid w:val="003B6F71"/>
    <w:rsid w:val="003C16E3"/>
    <w:rsid w:val="003C27E5"/>
    <w:rsid w:val="003C4C9D"/>
    <w:rsid w:val="003C7E7A"/>
    <w:rsid w:val="003E04FC"/>
    <w:rsid w:val="003E0F11"/>
    <w:rsid w:val="003E255D"/>
    <w:rsid w:val="003E6E52"/>
    <w:rsid w:val="003F194C"/>
    <w:rsid w:val="003F4A70"/>
    <w:rsid w:val="00402275"/>
    <w:rsid w:val="00407BB9"/>
    <w:rsid w:val="00421882"/>
    <w:rsid w:val="00444E37"/>
    <w:rsid w:val="004472AA"/>
    <w:rsid w:val="0045352E"/>
    <w:rsid w:val="004A3D3B"/>
    <w:rsid w:val="004B2242"/>
    <w:rsid w:val="004D52C4"/>
    <w:rsid w:val="00542628"/>
    <w:rsid w:val="00544526"/>
    <w:rsid w:val="00560999"/>
    <w:rsid w:val="00574C6D"/>
    <w:rsid w:val="0057674E"/>
    <w:rsid w:val="00580C1D"/>
    <w:rsid w:val="005864E8"/>
    <w:rsid w:val="005A3193"/>
    <w:rsid w:val="005D6EE5"/>
    <w:rsid w:val="005E3956"/>
    <w:rsid w:val="0061497F"/>
    <w:rsid w:val="0061571E"/>
    <w:rsid w:val="00621D27"/>
    <w:rsid w:val="00646B90"/>
    <w:rsid w:val="0065127B"/>
    <w:rsid w:val="0065532F"/>
    <w:rsid w:val="006579D3"/>
    <w:rsid w:val="00667E45"/>
    <w:rsid w:val="006A490A"/>
    <w:rsid w:val="006B5530"/>
    <w:rsid w:val="006D6392"/>
    <w:rsid w:val="006E7559"/>
    <w:rsid w:val="00701151"/>
    <w:rsid w:val="007116B4"/>
    <w:rsid w:val="00720246"/>
    <w:rsid w:val="007249A0"/>
    <w:rsid w:val="007352FC"/>
    <w:rsid w:val="007379A3"/>
    <w:rsid w:val="007463E7"/>
    <w:rsid w:val="007717CB"/>
    <w:rsid w:val="00783FD9"/>
    <w:rsid w:val="007C1FB4"/>
    <w:rsid w:val="007C6C42"/>
    <w:rsid w:val="007D6026"/>
    <w:rsid w:val="007D7E99"/>
    <w:rsid w:val="007E460E"/>
    <w:rsid w:val="007E46A3"/>
    <w:rsid w:val="007E5DCB"/>
    <w:rsid w:val="00810F08"/>
    <w:rsid w:val="008145DA"/>
    <w:rsid w:val="00815C6A"/>
    <w:rsid w:val="008302D6"/>
    <w:rsid w:val="00833DA1"/>
    <w:rsid w:val="00841ACE"/>
    <w:rsid w:val="008455CD"/>
    <w:rsid w:val="00850792"/>
    <w:rsid w:val="00865651"/>
    <w:rsid w:val="00867CB8"/>
    <w:rsid w:val="00867D78"/>
    <w:rsid w:val="0087178B"/>
    <w:rsid w:val="008849FC"/>
    <w:rsid w:val="00884CE9"/>
    <w:rsid w:val="008A5477"/>
    <w:rsid w:val="008B19F6"/>
    <w:rsid w:val="008D5AEC"/>
    <w:rsid w:val="008D788E"/>
    <w:rsid w:val="008E52AC"/>
    <w:rsid w:val="008E768C"/>
    <w:rsid w:val="008F5947"/>
    <w:rsid w:val="00906744"/>
    <w:rsid w:val="009122B0"/>
    <w:rsid w:val="00913E41"/>
    <w:rsid w:val="009479AA"/>
    <w:rsid w:val="00973ECE"/>
    <w:rsid w:val="009772AA"/>
    <w:rsid w:val="00977E74"/>
    <w:rsid w:val="009807CF"/>
    <w:rsid w:val="00982AF1"/>
    <w:rsid w:val="009A7114"/>
    <w:rsid w:val="009B1830"/>
    <w:rsid w:val="009F3B7E"/>
    <w:rsid w:val="00A01220"/>
    <w:rsid w:val="00A06BCE"/>
    <w:rsid w:val="00A10324"/>
    <w:rsid w:val="00A17A0F"/>
    <w:rsid w:val="00A219E4"/>
    <w:rsid w:val="00A43029"/>
    <w:rsid w:val="00A77E78"/>
    <w:rsid w:val="00A82153"/>
    <w:rsid w:val="00A86433"/>
    <w:rsid w:val="00AA74B3"/>
    <w:rsid w:val="00AA74F1"/>
    <w:rsid w:val="00AB3F50"/>
    <w:rsid w:val="00AC54BF"/>
    <w:rsid w:val="00AC7F13"/>
    <w:rsid w:val="00AD5879"/>
    <w:rsid w:val="00AE0DA3"/>
    <w:rsid w:val="00B02EC7"/>
    <w:rsid w:val="00B07322"/>
    <w:rsid w:val="00B13E15"/>
    <w:rsid w:val="00B16E2A"/>
    <w:rsid w:val="00B20878"/>
    <w:rsid w:val="00B22A01"/>
    <w:rsid w:val="00B32747"/>
    <w:rsid w:val="00B422B5"/>
    <w:rsid w:val="00B47662"/>
    <w:rsid w:val="00B7436A"/>
    <w:rsid w:val="00B835EB"/>
    <w:rsid w:val="00B84F3F"/>
    <w:rsid w:val="00BA3550"/>
    <w:rsid w:val="00BA605A"/>
    <w:rsid w:val="00BC0621"/>
    <w:rsid w:val="00BC7213"/>
    <w:rsid w:val="00BD3779"/>
    <w:rsid w:val="00BE3E94"/>
    <w:rsid w:val="00BF36E5"/>
    <w:rsid w:val="00BF3AF4"/>
    <w:rsid w:val="00C01C14"/>
    <w:rsid w:val="00C02F58"/>
    <w:rsid w:val="00C12721"/>
    <w:rsid w:val="00C13FB8"/>
    <w:rsid w:val="00C140FE"/>
    <w:rsid w:val="00C21901"/>
    <w:rsid w:val="00C2486F"/>
    <w:rsid w:val="00C30E09"/>
    <w:rsid w:val="00C366A9"/>
    <w:rsid w:val="00C36EE5"/>
    <w:rsid w:val="00C4043A"/>
    <w:rsid w:val="00C426C3"/>
    <w:rsid w:val="00C45805"/>
    <w:rsid w:val="00C5288B"/>
    <w:rsid w:val="00C539AF"/>
    <w:rsid w:val="00C773BF"/>
    <w:rsid w:val="00C87868"/>
    <w:rsid w:val="00CA10F8"/>
    <w:rsid w:val="00CA1E65"/>
    <w:rsid w:val="00CA4E0E"/>
    <w:rsid w:val="00CA5A24"/>
    <w:rsid w:val="00CB4BF3"/>
    <w:rsid w:val="00CC3C5F"/>
    <w:rsid w:val="00CC6997"/>
    <w:rsid w:val="00CD1B55"/>
    <w:rsid w:val="00CE0BA2"/>
    <w:rsid w:val="00CE31CE"/>
    <w:rsid w:val="00CE35AA"/>
    <w:rsid w:val="00CE3E70"/>
    <w:rsid w:val="00CE74DD"/>
    <w:rsid w:val="00CF0B04"/>
    <w:rsid w:val="00D16E7D"/>
    <w:rsid w:val="00D208F1"/>
    <w:rsid w:val="00D27E8F"/>
    <w:rsid w:val="00D41FD8"/>
    <w:rsid w:val="00D46836"/>
    <w:rsid w:val="00D50148"/>
    <w:rsid w:val="00D61135"/>
    <w:rsid w:val="00D61847"/>
    <w:rsid w:val="00D8079F"/>
    <w:rsid w:val="00D92009"/>
    <w:rsid w:val="00DD7090"/>
    <w:rsid w:val="00DE32C4"/>
    <w:rsid w:val="00DE7C5E"/>
    <w:rsid w:val="00E026E3"/>
    <w:rsid w:val="00E11019"/>
    <w:rsid w:val="00E32F6A"/>
    <w:rsid w:val="00E54C21"/>
    <w:rsid w:val="00E74670"/>
    <w:rsid w:val="00E76132"/>
    <w:rsid w:val="00E97940"/>
    <w:rsid w:val="00EA0F91"/>
    <w:rsid w:val="00EA5569"/>
    <w:rsid w:val="00EA5F4E"/>
    <w:rsid w:val="00EB011F"/>
    <w:rsid w:val="00EB4799"/>
    <w:rsid w:val="00ED6B6A"/>
    <w:rsid w:val="00F4186F"/>
    <w:rsid w:val="00F450B0"/>
    <w:rsid w:val="00F45118"/>
    <w:rsid w:val="00F45653"/>
    <w:rsid w:val="00F5005A"/>
    <w:rsid w:val="00F6529D"/>
    <w:rsid w:val="00F747B2"/>
    <w:rsid w:val="00F80F7D"/>
    <w:rsid w:val="00F82C40"/>
    <w:rsid w:val="00F871E2"/>
    <w:rsid w:val="00F93326"/>
    <w:rsid w:val="00FA219F"/>
    <w:rsid w:val="00FA2E68"/>
    <w:rsid w:val="00FA68DA"/>
    <w:rsid w:val="00FF48D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7B429"/>
  <w15:docId w15:val="{BCBD1C53-D924-4B21-9724-3AC89DF9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31CE"/>
    <w:rPr>
      <w:lang w:val="de-CH" w:eastAsia="en-US"/>
    </w:rPr>
  </w:style>
  <w:style w:type="paragraph" w:styleId="berschrift2">
    <w:name w:val="heading 2"/>
    <w:basedOn w:val="Standard"/>
    <w:next w:val="Standard"/>
    <w:link w:val="berschrift2Zchn"/>
    <w:rsid w:val="001718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44B3"/>
    <w:pPr>
      <w:tabs>
        <w:tab w:val="center" w:pos="4536"/>
        <w:tab w:val="right" w:pos="9072"/>
      </w:tabs>
    </w:pPr>
  </w:style>
  <w:style w:type="character" w:customStyle="1" w:styleId="KopfzeileZchn">
    <w:name w:val="Kopfzeile Zchn"/>
    <w:basedOn w:val="Absatz-Standardschriftart"/>
    <w:link w:val="Kopfzeile"/>
    <w:uiPriority w:val="99"/>
    <w:rsid w:val="00FA44B3"/>
  </w:style>
  <w:style w:type="paragraph" w:styleId="Fuzeile">
    <w:name w:val="footer"/>
    <w:basedOn w:val="Standard"/>
    <w:link w:val="FuzeileZchn"/>
    <w:uiPriority w:val="99"/>
    <w:unhideWhenUsed/>
    <w:rsid w:val="00FA44B3"/>
    <w:pPr>
      <w:tabs>
        <w:tab w:val="center" w:pos="4536"/>
        <w:tab w:val="right" w:pos="9072"/>
      </w:tabs>
    </w:pPr>
  </w:style>
  <w:style w:type="character" w:customStyle="1" w:styleId="FuzeileZchn">
    <w:name w:val="Fußzeile Zchn"/>
    <w:basedOn w:val="Absatz-Standardschriftart"/>
    <w:link w:val="Fuzeile"/>
    <w:uiPriority w:val="99"/>
    <w:rsid w:val="00FA44B3"/>
  </w:style>
  <w:style w:type="paragraph" w:customStyle="1" w:styleId="Helvetica">
    <w:name w:val="Helvetica"/>
    <w:basedOn w:val="Standard"/>
    <w:rsid w:val="00FA44B3"/>
    <w:pPr>
      <w:widowControl w:val="0"/>
      <w:tabs>
        <w:tab w:val="left" w:pos="312"/>
        <w:tab w:val="left" w:pos="624"/>
      </w:tabs>
      <w:autoSpaceDE w:val="0"/>
      <w:autoSpaceDN w:val="0"/>
      <w:adjustRightInd w:val="0"/>
      <w:spacing w:line="180" w:lineRule="atLeast"/>
      <w:textAlignment w:val="center"/>
    </w:pPr>
    <w:rPr>
      <w:rFonts w:ascii="DIN-Bold" w:hAnsi="DIN-Bold" w:cs="DIN-Bold"/>
      <w:b/>
      <w:bCs/>
      <w:color w:val="876B54"/>
      <w:spacing w:val="2"/>
      <w:sz w:val="36"/>
      <w:szCs w:val="36"/>
      <w:lang w:eastAsia="de-DE"/>
    </w:rPr>
  </w:style>
  <w:style w:type="paragraph" w:styleId="Sprechblasentext">
    <w:name w:val="Balloon Text"/>
    <w:basedOn w:val="Standard"/>
    <w:link w:val="SprechblasentextZchn"/>
    <w:semiHidden/>
    <w:unhideWhenUsed/>
    <w:rsid w:val="00B32747"/>
    <w:rPr>
      <w:rFonts w:ascii="Segoe UI" w:hAnsi="Segoe UI" w:cs="Segoe UI"/>
      <w:sz w:val="18"/>
      <w:szCs w:val="18"/>
    </w:rPr>
  </w:style>
  <w:style w:type="character" w:customStyle="1" w:styleId="SprechblasentextZchn">
    <w:name w:val="Sprechblasentext Zchn"/>
    <w:basedOn w:val="Absatz-Standardschriftart"/>
    <w:link w:val="Sprechblasentext"/>
    <w:semiHidden/>
    <w:rsid w:val="00B32747"/>
    <w:rPr>
      <w:rFonts w:ascii="Segoe UI" w:hAnsi="Segoe UI" w:cs="Segoe UI"/>
      <w:sz w:val="18"/>
      <w:szCs w:val="18"/>
      <w:lang w:eastAsia="en-US"/>
    </w:rPr>
  </w:style>
  <w:style w:type="table" w:styleId="Tabellenraster">
    <w:name w:val="Table Grid"/>
    <w:basedOn w:val="NormaleTabelle"/>
    <w:rsid w:val="0019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3B6F71"/>
    <w:rPr>
      <w:color w:val="0000FF" w:themeColor="hyperlink"/>
      <w:u w:val="single"/>
    </w:rPr>
  </w:style>
  <w:style w:type="character" w:styleId="NichtaufgelsteErwhnung">
    <w:name w:val="Unresolved Mention"/>
    <w:basedOn w:val="Absatz-Standardschriftart"/>
    <w:uiPriority w:val="99"/>
    <w:semiHidden/>
    <w:unhideWhenUsed/>
    <w:rsid w:val="003B6F71"/>
    <w:rPr>
      <w:color w:val="808080"/>
      <w:shd w:val="clear" w:color="auto" w:fill="E6E6E6"/>
    </w:rPr>
  </w:style>
  <w:style w:type="character" w:styleId="BesuchterLink">
    <w:name w:val="FollowedHyperlink"/>
    <w:basedOn w:val="Absatz-Standardschriftart"/>
    <w:semiHidden/>
    <w:unhideWhenUsed/>
    <w:rsid w:val="003B6F71"/>
    <w:rPr>
      <w:color w:val="800080" w:themeColor="followedHyperlink"/>
      <w:u w:val="single"/>
    </w:rPr>
  </w:style>
  <w:style w:type="paragraph" w:styleId="Listenabsatz">
    <w:name w:val="List Paragraph"/>
    <w:basedOn w:val="Standard"/>
    <w:uiPriority w:val="34"/>
    <w:qFormat/>
    <w:rsid w:val="008F5947"/>
    <w:pPr>
      <w:ind w:left="720"/>
      <w:contextualSpacing/>
    </w:pPr>
  </w:style>
  <w:style w:type="character" w:customStyle="1" w:styleId="berschrift2Zchn">
    <w:name w:val="Überschrift 2 Zchn"/>
    <w:basedOn w:val="Absatz-Standardschriftart"/>
    <w:link w:val="berschrift2"/>
    <w:rsid w:val="0017185E"/>
    <w:rPr>
      <w:rFonts w:asciiTheme="majorHAnsi" w:eastAsiaTheme="majorEastAsia" w:hAnsiTheme="majorHAnsi" w:cstheme="majorBidi"/>
      <w:color w:val="365F91" w:themeColor="accent1" w:themeShade="BF"/>
      <w:sz w:val="26"/>
      <w:szCs w:val="26"/>
      <w:lang w:eastAsia="en-US"/>
    </w:rPr>
  </w:style>
  <w:style w:type="character" w:styleId="Kommentarzeichen">
    <w:name w:val="annotation reference"/>
    <w:basedOn w:val="Absatz-Standardschriftart"/>
    <w:uiPriority w:val="99"/>
    <w:semiHidden/>
    <w:unhideWhenUsed/>
    <w:rsid w:val="00EA5569"/>
    <w:rPr>
      <w:sz w:val="16"/>
      <w:szCs w:val="16"/>
    </w:rPr>
  </w:style>
  <w:style w:type="paragraph" w:customStyle="1" w:styleId="CommentText1">
    <w:name w:val="Comment Text1"/>
    <w:basedOn w:val="Standard"/>
    <w:next w:val="Kommentartext"/>
    <w:link w:val="CommentTextChar"/>
    <w:uiPriority w:val="99"/>
    <w:semiHidden/>
    <w:unhideWhenUsed/>
    <w:rsid w:val="00EA5569"/>
    <w:pPr>
      <w:spacing w:after="160"/>
    </w:pPr>
    <w:rPr>
      <w:lang w:val="de-DE" w:eastAsia="de-DE"/>
    </w:rPr>
  </w:style>
  <w:style w:type="character" w:customStyle="1" w:styleId="CommentTextChar">
    <w:name w:val="Comment Text Char"/>
    <w:basedOn w:val="Absatz-Standardschriftart"/>
    <w:link w:val="CommentText1"/>
    <w:uiPriority w:val="99"/>
    <w:semiHidden/>
    <w:rsid w:val="00EA5569"/>
  </w:style>
  <w:style w:type="paragraph" w:styleId="Kommentartext">
    <w:name w:val="annotation text"/>
    <w:basedOn w:val="Standard"/>
    <w:link w:val="KommentartextZchn"/>
    <w:unhideWhenUsed/>
    <w:rsid w:val="00EA5569"/>
    <w:rPr>
      <w:sz w:val="20"/>
      <w:szCs w:val="20"/>
    </w:rPr>
  </w:style>
  <w:style w:type="character" w:customStyle="1" w:styleId="KommentartextZchn">
    <w:name w:val="Kommentartext Zchn"/>
    <w:basedOn w:val="Absatz-Standardschriftart"/>
    <w:link w:val="Kommentartext"/>
    <w:rsid w:val="00EA5569"/>
    <w:rPr>
      <w:sz w:val="20"/>
      <w:szCs w:val="20"/>
      <w:lang w:val="de-CH" w:eastAsia="en-US"/>
    </w:rPr>
  </w:style>
  <w:style w:type="paragraph" w:styleId="Kommentarthema">
    <w:name w:val="annotation subject"/>
    <w:basedOn w:val="Kommentartext"/>
    <w:next w:val="Kommentartext"/>
    <w:link w:val="KommentarthemaZchn"/>
    <w:semiHidden/>
    <w:unhideWhenUsed/>
    <w:rsid w:val="00A219E4"/>
    <w:rPr>
      <w:b/>
      <w:bCs/>
    </w:rPr>
  </w:style>
  <w:style w:type="character" w:customStyle="1" w:styleId="KommentarthemaZchn">
    <w:name w:val="Kommentarthema Zchn"/>
    <w:basedOn w:val="KommentartextZchn"/>
    <w:link w:val="Kommentarthema"/>
    <w:semiHidden/>
    <w:rsid w:val="00A219E4"/>
    <w:rPr>
      <w:b/>
      <w:bCs/>
      <w:sz w:val="20"/>
      <w:szCs w:val="20"/>
      <w:lang w:val="de-CH" w:eastAsia="en-US"/>
    </w:rPr>
  </w:style>
  <w:style w:type="paragraph" w:styleId="berarbeitung">
    <w:name w:val="Revision"/>
    <w:hidden/>
    <w:semiHidden/>
    <w:rsid w:val="009807CF"/>
    <w:rPr>
      <w:lang w:val="de-CH" w:eastAsia="en-US"/>
    </w:rPr>
  </w:style>
  <w:style w:type="paragraph" w:customStyle="1" w:styleId="Default">
    <w:name w:val="Default"/>
    <w:basedOn w:val="Standard"/>
    <w:uiPriority w:val="99"/>
    <w:rsid w:val="003718BB"/>
    <w:pPr>
      <w:autoSpaceDE w:val="0"/>
      <w:autoSpaceDN w:val="0"/>
    </w:pPr>
    <w:rPr>
      <w:rFonts w:ascii="Arial" w:eastAsiaTheme="minorHAnsi" w:hAnsi="Arial" w:cs="Arial"/>
      <w:color w:val="000000"/>
      <w:lang w:eastAsia="de-CH"/>
    </w:rPr>
  </w:style>
  <w:style w:type="character" w:customStyle="1" w:styleId="markedcontent">
    <w:name w:val="markedcontent"/>
    <w:basedOn w:val="Absatz-Standardschriftart"/>
    <w:rsid w:val="00D2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414">
      <w:bodyDiv w:val="1"/>
      <w:marLeft w:val="0"/>
      <w:marRight w:val="0"/>
      <w:marTop w:val="0"/>
      <w:marBottom w:val="0"/>
      <w:divBdr>
        <w:top w:val="none" w:sz="0" w:space="0" w:color="auto"/>
        <w:left w:val="none" w:sz="0" w:space="0" w:color="auto"/>
        <w:bottom w:val="none" w:sz="0" w:space="0" w:color="auto"/>
        <w:right w:val="none" w:sz="0" w:space="0" w:color="auto"/>
      </w:divBdr>
    </w:div>
    <w:div w:id="447823078">
      <w:bodyDiv w:val="1"/>
      <w:marLeft w:val="0"/>
      <w:marRight w:val="0"/>
      <w:marTop w:val="0"/>
      <w:marBottom w:val="0"/>
      <w:divBdr>
        <w:top w:val="none" w:sz="0" w:space="0" w:color="auto"/>
        <w:left w:val="none" w:sz="0" w:space="0" w:color="auto"/>
        <w:bottom w:val="none" w:sz="0" w:space="0" w:color="auto"/>
        <w:right w:val="none" w:sz="0" w:space="0" w:color="auto"/>
      </w:divBdr>
    </w:div>
    <w:div w:id="452408013">
      <w:bodyDiv w:val="1"/>
      <w:marLeft w:val="0"/>
      <w:marRight w:val="0"/>
      <w:marTop w:val="0"/>
      <w:marBottom w:val="0"/>
      <w:divBdr>
        <w:top w:val="none" w:sz="0" w:space="0" w:color="auto"/>
        <w:left w:val="none" w:sz="0" w:space="0" w:color="auto"/>
        <w:bottom w:val="none" w:sz="0" w:space="0" w:color="auto"/>
        <w:right w:val="none" w:sz="0" w:space="0" w:color="auto"/>
      </w:divBdr>
    </w:div>
    <w:div w:id="541481592">
      <w:bodyDiv w:val="1"/>
      <w:marLeft w:val="0"/>
      <w:marRight w:val="0"/>
      <w:marTop w:val="0"/>
      <w:marBottom w:val="0"/>
      <w:divBdr>
        <w:top w:val="none" w:sz="0" w:space="0" w:color="auto"/>
        <w:left w:val="none" w:sz="0" w:space="0" w:color="auto"/>
        <w:bottom w:val="none" w:sz="0" w:space="0" w:color="auto"/>
        <w:right w:val="none" w:sz="0" w:space="0" w:color="auto"/>
      </w:divBdr>
    </w:div>
    <w:div w:id="655258450">
      <w:bodyDiv w:val="1"/>
      <w:marLeft w:val="0"/>
      <w:marRight w:val="0"/>
      <w:marTop w:val="0"/>
      <w:marBottom w:val="0"/>
      <w:divBdr>
        <w:top w:val="none" w:sz="0" w:space="0" w:color="auto"/>
        <w:left w:val="none" w:sz="0" w:space="0" w:color="auto"/>
        <w:bottom w:val="none" w:sz="0" w:space="0" w:color="auto"/>
        <w:right w:val="none" w:sz="0" w:space="0" w:color="auto"/>
      </w:divBdr>
    </w:div>
    <w:div w:id="690760665">
      <w:bodyDiv w:val="1"/>
      <w:marLeft w:val="0"/>
      <w:marRight w:val="0"/>
      <w:marTop w:val="0"/>
      <w:marBottom w:val="0"/>
      <w:divBdr>
        <w:top w:val="none" w:sz="0" w:space="0" w:color="auto"/>
        <w:left w:val="none" w:sz="0" w:space="0" w:color="auto"/>
        <w:bottom w:val="none" w:sz="0" w:space="0" w:color="auto"/>
        <w:right w:val="none" w:sz="0" w:space="0" w:color="auto"/>
      </w:divBdr>
    </w:div>
    <w:div w:id="833300630">
      <w:bodyDiv w:val="1"/>
      <w:marLeft w:val="0"/>
      <w:marRight w:val="0"/>
      <w:marTop w:val="0"/>
      <w:marBottom w:val="0"/>
      <w:divBdr>
        <w:top w:val="none" w:sz="0" w:space="0" w:color="auto"/>
        <w:left w:val="none" w:sz="0" w:space="0" w:color="auto"/>
        <w:bottom w:val="none" w:sz="0" w:space="0" w:color="auto"/>
        <w:right w:val="none" w:sz="0" w:space="0" w:color="auto"/>
      </w:divBdr>
    </w:div>
    <w:div w:id="904726483">
      <w:bodyDiv w:val="1"/>
      <w:marLeft w:val="0"/>
      <w:marRight w:val="0"/>
      <w:marTop w:val="0"/>
      <w:marBottom w:val="0"/>
      <w:divBdr>
        <w:top w:val="none" w:sz="0" w:space="0" w:color="auto"/>
        <w:left w:val="none" w:sz="0" w:space="0" w:color="auto"/>
        <w:bottom w:val="none" w:sz="0" w:space="0" w:color="auto"/>
        <w:right w:val="none" w:sz="0" w:space="0" w:color="auto"/>
      </w:divBdr>
    </w:div>
    <w:div w:id="921377353">
      <w:bodyDiv w:val="1"/>
      <w:marLeft w:val="0"/>
      <w:marRight w:val="0"/>
      <w:marTop w:val="0"/>
      <w:marBottom w:val="0"/>
      <w:divBdr>
        <w:top w:val="none" w:sz="0" w:space="0" w:color="auto"/>
        <w:left w:val="none" w:sz="0" w:space="0" w:color="auto"/>
        <w:bottom w:val="none" w:sz="0" w:space="0" w:color="auto"/>
        <w:right w:val="none" w:sz="0" w:space="0" w:color="auto"/>
      </w:divBdr>
    </w:div>
    <w:div w:id="1153183926">
      <w:bodyDiv w:val="1"/>
      <w:marLeft w:val="0"/>
      <w:marRight w:val="0"/>
      <w:marTop w:val="0"/>
      <w:marBottom w:val="0"/>
      <w:divBdr>
        <w:top w:val="none" w:sz="0" w:space="0" w:color="auto"/>
        <w:left w:val="none" w:sz="0" w:space="0" w:color="auto"/>
        <w:bottom w:val="none" w:sz="0" w:space="0" w:color="auto"/>
        <w:right w:val="none" w:sz="0" w:space="0" w:color="auto"/>
      </w:divBdr>
    </w:div>
    <w:div w:id="1210993420">
      <w:bodyDiv w:val="1"/>
      <w:marLeft w:val="0"/>
      <w:marRight w:val="0"/>
      <w:marTop w:val="0"/>
      <w:marBottom w:val="0"/>
      <w:divBdr>
        <w:top w:val="none" w:sz="0" w:space="0" w:color="auto"/>
        <w:left w:val="none" w:sz="0" w:space="0" w:color="auto"/>
        <w:bottom w:val="none" w:sz="0" w:space="0" w:color="auto"/>
        <w:right w:val="none" w:sz="0" w:space="0" w:color="auto"/>
      </w:divBdr>
    </w:div>
    <w:div w:id="1216038791">
      <w:bodyDiv w:val="1"/>
      <w:marLeft w:val="0"/>
      <w:marRight w:val="0"/>
      <w:marTop w:val="0"/>
      <w:marBottom w:val="0"/>
      <w:divBdr>
        <w:top w:val="none" w:sz="0" w:space="0" w:color="auto"/>
        <w:left w:val="none" w:sz="0" w:space="0" w:color="auto"/>
        <w:bottom w:val="none" w:sz="0" w:space="0" w:color="auto"/>
        <w:right w:val="none" w:sz="0" w:space="0" w:color="auto"/>
      </w:divBdr>
    </w:div>
    <w:div w:id="1324548212">
      <w:bodyDiv w:val="1"/>
      <w:marLeft w:val="0"/>
      <w:marRight w:val="0"/>
      <w:marTop w:val="0"/>
      <w:marBottom w:val="0"/>
      <w:divBdr>
        <w:top w:val="none" w:sz="0" w:space="0" w:color="auto"/>
        <w:left w:val="none" w:sz="0" w:space="0" w:color="auto"/>
        <w:bottom w:val="none" w:sz="0" w:space="0" w:color="auto"/>
        <w:right w:val="none" w:sz="0" w:space="0" w:color="auto"/>
      </w:divBdr>
    </w:div>
    <w:div w:id="1590968451">
      <w:bodyDiv w:val="1"/>
      <w:marLeft w:val="0"/>
      <w:marRight w:val="0"/>
      <w:marTop w:val="0"/>
      <w:marBottom w:val="0"/>
      <w:divBdr>
        <w:top w:val="none" w:sz="0" w:space="0" w:color="auto"/>
        <w:left w:val="none" w:sz="0" w:space="0" w:color="auto"/>
        <w:bottom w:val="none" w:sz="0" w:space="0" w:color="auto"/>
        <w:right w:val="none" w:sz="0" w:space="0" w:color="auto"/>
      </w:divBdr>
    </w:div>
    <w:div w:id="1673991469">
      <w:bodyDiv w:val="1"/>
      <w:marLeft w:val="0"/>
      <w:marRight w:val="0"/>
      <w:marTop w:val="0"/>
      <w:marBottom w:val="0"/>
      <w:divBdr>
        <w:top w:val="none" w:sz="0" w:space="0" w:color="auto"/>
        <w:left w:val="none" w:sz="0" w:space="0" w:color="auto"/>
        <w:bottom w:val="none" w:sz="0" w:space="0" w:color="auto"/>
        <w:right w:val="none" w:sz="0" w:space="0" w:color="auto"/>
      </w:divBdr>
    </w:div>
    <w:div w:id="1769304143">
      <w:bodyDiv w:val="1"/>
      <w:marLeft w:val="0"/>
      <w:marRight w:val="0"/>
      <w:marTop w:val="0"/>
      <w:marBottom w:val="0"/>
      <w:divBdr>
        <w:top w:val="none" w:sz="0" w:space="0" w:color="auto"/>
        <w:left w:val="none" w:sz="0" w:space="0" w:color="auto"/>
        <w:bottom w:val="none" w:sz="0" w:space="0" w:color="auto"/>
        <w:right w:val="none" w:sz="0" w:space="0" w:color="auto"/>
      </w:divBdr>
    </w:div>
    <w:div w:id="1791632940">
      <w:bodyDiv w:val="1"/>
      <w:marLeft w:val="0"/>
      <w:marRight w:val="0"/>
      <w:marTop w:val="0"/>
      <w:marBottom w:val="0"/>
      <w:divBdr>
        <w:top w:val="none" w:sz="0" w:space="0" w:color="auto"/>
        <w:left w:val="none" w:sz="0" w:space="0" w:color="auto"/>
        <w:bottom w:val="none" w:sz="0" w:space="0" w:color="auto"/>
        <w:right w:val="none" w:sz="0" w:space="0" w:color="auto"/>
      </w:divBdr>
    </w:div>
    <w:div w:id="2021736007">
      <w:bodyDiv w:val="1"/>
      <w:marLeft w:val="0"/>
      <w:marRight w:val="0"/>
      <w:marTop w:val="0"/>
      <w:marBottom w:val="0"/>
      <w:divBdr>
        <w:top w:val="none" w:sz="0" w:space="0" w:color="auto"/>
        <w:left w:val="none" w:sz="0" w:space="0" w:color="auto"/>
        <w:bottom w:val="none" w:sz="0" w:space="0" w:color="auto"/>
        <w:right w:val="none" w:sz="0" w:space="0" w:color="auto"/>
      </w:divBdr>
    </w:div>
    <w:div w:id="2028560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ko@weko.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47D429-0138-4E8F-ACEA-6CAAC3682F58}">
  <we:reference id="wa200002017" version="1.4.0.0" store="de-DE" storeType="OMEX"/>
  <we:alternateReferences>
    <we:reference id="WA200002017" version="1.4.0.0" store="" storeType="OMEX"/>
  </we:alternateReferences>
  <we:properties>
    <we:property name="ignoredAdviceList" value="&quot;[{\&quot;errorCode\&quot;:\&quot;21\&quot;,\&quot;originalError\&quot;:\&quot;GloBE\&quot;},{\&quot;errorCode\&quot;:\&quot;1\&quot;,\&quot;originalError\&quot;:\&quot;SwissHoldings\&quot;},{\&quot;errorCode\&quot;:\&quot;22\&quot;,\&quot;originalError\&quot;:\&quot;Frohofer\&quot;},{\&quot;errorCode\&quot;:\&quot;13\&quot;,\&quot;originalError\&quot;:\&quot;Top-up\&quot;},{\&quot;errorCode\&quot;:\&quot;21\&quot;,\&quot;originalError\&quot;:\&quot;UPE\&quot;},{\&quot;errorCode\&quot;:\&quot;21\&quot;,\&quot;originalError\&quot;:\&quot;GloBE-Ergebnissen\&quot;},{\&quot;errorCode\&quot;:\&quot;21\&quot;,\&quot;originalError\&quot;:\&quot;B_v2.xlsx\&quot;},{\&quot;errorCode\&quot;:\&quot;101\&quot;,\&quot;originalError\&quot;:\&quot;Basis OR-Ergebnisse\&quot;},{\&quot;errorCode\&quot;:\&quot;21\&quot;,\&quot;originalError\&quot;:\&quot;TCHF\&quot;},{\&quot;errorCode\&quot;:\&quot;21\&quot;,\&quot;originalError\&quot;:\&quot;GloBE-Basis\&quot;},{\&quot;errorCode\&quot;:\&quot;101\&quot;,\&quot;originalError\&quot;:\&quot;GloBE Steuererklärung\&quot;},{\&quot;errorCode\&quot;:\&quot;21\&quot;,\&quot;originalError\&quot;:\&quot;Rules\&quot;},{\&quot;errorCode\&quot;:\&quot;21\&quot;,\&quot;originalError\&quot;:\&quot;GloBE-Steuerbemessung\&quot;},{\&quot;errorCode\&quot;:\&quot;139\&quot;,\&quot;originalError\&quot;:\&quot;The financial accounting auditors's acceptance of a deviation in the Consolidated Financial Statements without a qualification to the auditor's opinion is a good evidence that the difference is immaterial.\&quot;},{\&quot;errorCode\&quot;:\&quot;140\&quot;,\&quot;originalError\&quot;:\&quot;den Module\&quot;},{\&quot;errorCode\&quot;:\&quot;21\&quot;,\&quot;originalError\&quot;:\&quot;Intercompany-Transaktionen\&quot;},{\&quot;errorCode\&quot;:\&quot;21\&quot;,\&quot;originalError\&quot;:\&quot;Packing\&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A4C5-AAB0-4A90-B7DA-6D9EEE3C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docId:AE388E0BE7B38EAC25CB6DDF15BA6718</cp:keywords>
  <cp:lastModifiedBy>Pascal Nussbaum</cp:lastModifiedBy>
  <cp:revision>2</cp:revision>
  <cp:lastPrinted>2022-09-02T12:03:00Z</cp:lastPrinted>
  <dcterms:created xsi:type="dcterms:W3CDTF">2022-09-02T12:54:00Z</dcterms:created>
  <dcterms:modified xsi:type="dcterms:W3CDTF">2022-09-02T12:54:00Z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1fccfb-80ca-4fe1-a574-1516544edb53_Enabled">
    <vt:lpwstr>true</vt:lpwstr>
  </property>
  <property fmtid="{D5CDD505-2E9C-101B-9397-08002B2CF9AE}" pid="3" name="MSIP_Label_2e1fccfb-80ca-4fe1-a574-1516544edb53_SetDate">
    <vt:lpwstr>2022-08-05T05:42:02Z</vt:lpwstr>
  </property>
  <property fmtid="{D5CDD505-2E9C-101B-9397-08002B2CF9AE}" pid="4" name="MSIP_Label_2e1fccfb-80ca-4fe1-a574-1516544edb53_Method">
    <vt:lpwstr>Standard</vt:lpwstr>
  </property>
  <property fmtid="{D5CDD505-2E9C-101B-9397-08002B2CF9AE}" pid="5" name="MSIP_Label_2e1fccfb-80ca-4fe1-a574-1516544edb53_Name">
    <vt:lpwstr>C2 Internal</vt:lpwstr>
  </property>
  <property fmtid="{D5CDD505-2E9C-101B-9397-08002B2CF9AE}" pid="6" name="MSIP_Label_2e1fccfb-80ca-4fe1-a574-1516544edb53_SiteId">
    <vt:lpwstr>364e5b87-c1c7-420d-9bee-c35d19b557a1</vt:lpwstr>
  </property>
  <property fmtid="{D5CDD505-2E9C-101B-9397-08002B2CF9AE}" pid="7" name="MSIP_Label_2e1fccfb-80ca-4fe1-a574-1516544edb53_ActionId">
    <vt:lpwstr>e6b8f649-f804-4763-9aec-b82ac926e9f4</vt:lpwstr>
  </property>
  <property fmtid="{D5CDD505-2E9C-101B-9397-08002B2CF9AE}" pid="8" name="MSIP_Label_2e1fccfb-80ca-4fe1-a574-1516544edb53_ContentBits">
    <vt:lpwstr>0</vt:lpwstr>
  </property>
  <property fmtid="{D5CDD505-2E9C-101B-9397-08002B2CF9AE}" pid="9" name="MSIP_Label_3c9bec58-8084-492e-8360-0e1cfe36408c_Enabled">
    <vt:lpwstr>true</vt:lpwstr>
  </property>
  <property fmtid="{D5CDD505-2E9C-101B-9397-08002B2CF9AE}" pid="10" name="MSIP_Label_3c9bec58-8084-492e-8360-0e1cfe36408c_SetDate">
    <vt:lpwstr>2022-08-08T09:49:04Z</vt:lpwstr>
  </property>
  <property fmtid="{D5CDD505-2E9C-101B-9397-08002B2CF9AE}" pid="11" name="MSIP_Label_3c9bec58-8084-492e-8360-0e1cfe36408c_Method">
    <vt:lpwstr>Standard</vt:lpwstr>
  </property>
  <property fmtid="{D5CDD505-2E9C-101B-9397-08002B2CF9AE}" pid="12" name="MSIP_Label_3c9bec58-8084-492e-8360-0e1cfe36408c_Name">
    <vt:lpwstr>Not Protected -Pilot</vt:lpwstr>
  </property>
  <property fmtid="{D5CDD505-2E9C-101B-9397-08002B2CF9AE}" pid="13" name="MSIP_Label_3c9bec58-8084-492e-8360-0e1cfe36408c_SiteId">
    <vt:lpwstr>f35a6974-607f-47d4-82d7-ff31d7dc53a5</vt:lpwstr>
  </property>
  <property fmtid="{D5CDD505-2E9C-101B-9397-08002B2CF9AE}" pid="14" name="MSIP_Label_3c9bec58-8084-492e-8360-0e1cfe36408c_ActionId">
    <vt:lpwstr>2ab5c477-d3d1-4c98-9081-65b8f9d241f4</vt:lpwstr>
  </property>
  <property fmtid="{D5CDD505-2E9C-101B-9397-08002B2CF9AE}" pid="15" name="MSIP_Label_3c9bec58-8084-492e-8360-0e1cfe36408c_ContentBits">
    <vt:lpwstr>0</vt:lpwstr>
  </property>
</Properties>
</file>